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48BB" w14:textId="77777777" w:rsidR="00C77D9F" w:rsidRPr="0069106F" w:rsidRDefault="00C77D9F" w:rsidP="00BE08D6">
      <w:pPr>
        <w:spacing w:line="288" w:lineRule="auto"/>
        <w:jc w:val="center"/>
        <w:rPr>
          <w:rFonts w:ascii="Arial" w:hAnsi="Arial" w:cs="Arial"/>
          <w:b/>
        </w:rPr>
      </w:pPr>
    </w:p>
    <w:p w14:paraId="2077DD97" w14:textId="77777777" w:rsidR="00C77D9F" w:rsidRPr="0069106F" w:rsidRDefault="00C77D9F" w:rsidP="00BE08D6">
      <w:pPr>
        <w:spacing w:line="288" w:lineRule="auto"/>
        <w:jc w:val="center"/>
        <w:rPr>
          <w:rFonts w:ascii="Arial" w:hAnsi="Arial" w:cs="Arial"/>
          <w:b/>
        </w:rPr>
      </w:pPr>
    </w:p>
    <w:p w14:paraId="317CB16A" w14:textId="77777777" w:rsidR="00C77D9F" w:rsidRPr="0069106F" w:rsidRDefault="00C77D9F" w:rsidP="00BE08D6">
      <w:pPr>
        <w:spacing w:line="288" w:lineRule="auto"/>
        <w:jc w:val="center"/>
        <w:rPr>
          <w:rFonts w:ascii="Arial" w:hAnsi="Arial" w:cs="Arial"/>
          <w:b/>
        </w:rPr>
      </w:pPr>
    </w:p>
    <w:p w14:paraId="17AEF4E5" w14:textId="77777777" w:rsidR="00C77D9F" w:rsidRPr="0069106F" w:rsidRDefault="00C77D9F" w:rsidP="00BE08D6">
      <w:pPr>
        <w:spacing w:line="288" w:lineRule="auto"/>
        <w:jc w:val="center"/>
        <w:rPr>
          <w:rFonts w:ascii="Arial" w:hAnsi="Arial" w:cs="Arial"/>
          <w:b/>
        </w:rPr>
      </w:pPr>
    </w:p>
    <w:p w14:paraId="2DF5B050" w14:textId="77777777" w:rsidR="00C77D9F" w:rsidRPr="0069106F" w:rsidRDefault="00C77D9F" w:rsidP="00BE08D6">
      <w:pPr>
        <w:spacing w:line="288" w:lineRule="auto"/>
        <w:jc w:val="center"/>
        <w:rPr>
          <w:rFonts w:ascii="Arial" w:hAnsi="Arial" w:cs="Arial"/>
          <w:b/>
        </w:rPr>
      </w:pPr>
    </w:p>
    <w:p w14:paraId="4579AC9A" w14:textId="77777777" w:rsidR="00C77D9F" w:rsidRPr="0069106F" w:rsidRDefault="00C77D9F" w:rsidP="00BE08D6">
      <w:pPr>
        <w:spacing w:line="288" w:lineRule="auto"/>
        <w:jc w:val="center"/>
        <w:rPr>
          <w:rFonts w:ascii="Arial" w:hAnsi="Arial" w:cs="Arial"/>
          <w:b/>
        </w:rPr>
      </w:pPr>
    </w:p>
    <w:p w14:paraId="67DF6AFB" w14:textId="77777777" w:rsidR="00C77D9F" w:rsidRPr="0069106F" w:rsidRDefault="00C77D9F" w:rsidP="00BE08D6">
      <w:pPr>
        <w:tabs>
          <w:tab w:val="left" w:pos="6750"/>
        </w:tabs>
        <w:spacing w:line="288" w:lineRule="auto"/>
        <w:rPr>
          <w:rFonts w:ascii="Arial" w:hAnsi="Arial" w:cs="Arial"/>
          <w:b/>
        </w:rPr>
      </w:pPr>
      <w:r w:rsidRPr="0069106F">
        <w:rPr>
          <w:rFonts w:ascii="Arial" w:hAnsi="Arial" w:cs="Arial"/>
          <w:b/>
        </w:rPr>
        <w:tab/>
      </w:r>
    </w:p>
    <w:p w14:paraId="011813A0" w14:textId="77777777" w:rsidR="00C77D9F" w:rsidRPr="0069106F" w:rsidRDefault="00C77D9F" w:rsidP="00BE08D6">
      <w:pPr>
        <w:spacing w:line="288" w:lineRule="auto"/>
        <w:jc w:val="center"/>
        <w:rPr>
          <w:rFonts w:ascii="Arial" w:hAnsi="Arial" w:cs="Arial"/>
          <w:b/>
        </w:rPr>
      </w:pPr>
    </w:p>
    <w:p w14:paraId="13B59EF2" w14:textId="15E2D89A" w:rsidR="00C77D9F" w:rsidRPr="001B5D58" w:rsidRDefault="00AE3D31" w:rsidP="00BE08D6">
      <w:pPr>
        <w:pStyle w:val="Nadpis2"/>
        <w:pBdr>
          <w:bottom w:val="none" w:sz="0" w:space="0" w:color="auto"/>
        </w:pBdr>
        <w:spacing w:line="288" w:lineRule="auto"/>
        <w:jc w:val="center"/>
        <w:rPr>
          <w:rFonts w:ascii="Arial" w:hAnsi="Arial" w:cs="Arial"/>
          <w:sz w:val="28"/>
          <w:szCs w:val="28"/>
        </w:rPr>
      </w:pPr>
      <w:bookmarkStart w:id="0" w:name="_Toc427852462"/>
      <w:bookmarkStart w:id="1" w:name="_Toc427856525"/>
      <w:bookmarkStart w:id="2" w:name="_Toc427933476"/>
      <w:bookmarkStart w:id="3" w:name="_Toc427935535"/>
      <w:bookmarkStart w:id="4" w:name="_Toc434481836"/>
      <w:bookmarkStart w:id="5" w:name="_Toc435632623"/>
      <w:bookmarkStart w:id="6" w:name="_Toc436045009"/>
      <w:bookmarkStart w:id="7" w:name="_Toc474770717"/>
      <w:bookmarkStart w:id="8" w:name="_Toc507422843"/>
      <w:bookmarkStart w:id="9" w:name="_Toc63433892"/>
      <w:r w:rsidRPr="001B5D58">
        <w:rPr>
          <w:sz w:val="72"/>
        </w:rPr>
        <w:t xml:space="preserve">Otevřeně o Evropě </w:t>
      </w:r>
      <w:r w:rsidRPr="001B5D58">
        <w:rPr>
          <w:sz w:val="72"/>
        </w:rPr>
        <w:br/>
      </w:r>
      <w:r w:rsidRPr="001B5D58">
        <w:rPr>
          <w:szCs w:val="36"/>
        </w:rPr>
        <w:t>Komunikační strategie o evropských záležitostech</w:t>
      </w:r>
      <w:bookmarkEnd w:id="0"/>
      <w:bookmarkEnd w:id="1"/>
      <w:bookmarkEnd w:id="2"/>
      <w:bookmarkEnd w:id="3"/>
      <w:bookmarkEnd w:id="4"/>
      <w:bookmarkEnd w:id="5"/>
      <w:bookmarkEnd w:id="6"/>
      <w:r w:rsidRPr="001B5D58">
        <w:rPr>
          <w:szCs w:val="36"/>
        </w:rPr>
        <w:t xml:space="preserve"> – aktualizace pro ro</w:t>
      </w:r>
      <w:r w:rsidR="002D600C" w:rsidRPr="001B5D58">
        <w:rPr>
          <w:szCs w:val="36"/>
        </w:rPr>
        <w:t>k 202</w:t>
      </w:r>
      <w:bookmarkEnd w:id="7"/>
      <w:bookmarkEnd w:id="8"/>
      <w:r w:rsidR="002C2144">
        <w:rPr>
          <w:szCs w:val="36"/>
        </w:rPr>
        <w:t>2</w:t>
      </w:r>
      <w:bookmarkEnd w:id="9"/>
    </w:p>
    <w:p w14:paraId="399F57C6" w14:textId="77777777" w:rsidR="00C77D9F" w:rsidRPr="001B5D58" w:rsidRDefault="00C77D9F" w:rsidP="00BE08D6">
      <w:pPr>
        <w:spacing w:line="288" w:lineRule="auto"/>
        <w:rPr>
          <w:rFonts w:ascii="Arial" w:hAnsi="Arial" w:cs="Arial"/>
          <w:b/>
          <w:sz w:val="28"/>
          <w:szCs w:val="28"/>
        </w:rPr>
      </w:pPr>
      <w:r w:rsidRPr="001B5D58">
        <w:rPr>
          <w:rFonts w:ascii="Arial" w:hAnsi="Arial" w:cs="Arial"/>
          <w:b/>
          <w:sz w:val="28"/>
          <w:szCs w:val="28"/>
        </w:rPr>
        <w:br w:type="page"/>
      </w:r>
    </w:p>
    <w:p w14:paraId="64666047" w14:textId="77777777" w:rsidR="00B71AFF" w:rsidRDefault="00AE3D31" w:rsidP="00BE08D6">
      <w:pPr>
        <w:pStyle w:val="Nadpisobsahu"/>
        <w:spacing w:line="288" w:lineRule="auto"/>
        <w:rPr>
          <w:noProof/>
        </w:rPr>
      </w:pPr>
      <w:r w:rsidRPr="001B5D58">
        <w:lastRenderedPageBreak/>
        <w:t>Obsah</w:t>
      </w:r>
      <w:r w:rsidRPr="001B5D58">
        <w:rPr>
          <w:rFonts w:ascii="Arial" w:hAnsi="Arial" w:cs="Arial"/>
          <w:sz w:val="22"/>
          <w:szCs w:val="22"/>
        </w:rPr>
        <w:t xml:space="preserve"> </w:t>
      </w:r>
      <w:r w:rsidR="00C77D9F" w:rsidRPr="001B5D58">
        <w:rPr>
          <w:rFonts w:ascii="Arial" w:hAnsi="Arial" w:cs="Arial"/>
          <w:sz w:val="22"/>
          <w:szCs w:val="22"/>
        </w:rPr>
        <w:fldChar w:fldCharType="begin"/>
      </w:r>
      <w:r w:rsidR="00C77D9F" w:rsidRPr="001B5D58">
        <w:rPr>
          <w:rFonts w:ascii="Arial" w:hAnsi="Arial" w:cs="Arial"/>
          <w:sz w:val="22"/>
          <w:szCs w:val="22"/>
        </w:rPr>
        <w:instrText xml:space="preserve"> TOC \o "1-3" \h \z \u </w:instrText>
      </w:r>
      <w:r w:rsidR="00C77D9F" w:rsidRPr="001B5D58">
        <w:rPr>
          <w:rFonts w:ascii="Arial" w:hAnsi="Arial" w:cs="Arial"/>
          <w:sz w:val="22"/>
          <w:szCs w:val="22"/>
        </w:rPr>
        <w:fldChar w:fldCharType="separate"/>
      </w:r>
    </w:p>
    <w:p w14:paraId="7BEF59D1" w14:textId="04C7DE53" w:rsidR="00B71AFF" w:rsidRPr="00B71AFF" w:rsidRDefault="00D84E20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lang w:eastAsia="cs-CZ"/>
        </w:rPr>
      </w:pPr>
      <w:hyperlink w:anchor="_Toc63433893" w:history="1">
        <w:r w:rsidR="00B71AFF" w:rsidRPr="00B71AFF">
          <w:rPr>
            <w:rStyle w:val="Hypertextovodkaz"/>
            <w:rFonts w:ascii="Arial" w:hAnsi="Arial" w:cs="Arial"/>
            <w:noProof/>
          </w:rPr>
          <w:t>1. Proč je aktualizace přijímaná?</w:t>
        </w:r>
        <w:r w:rsidR="00B71AFF" w:rsidRPr="00B71AFF">
          <w:rPr>
            <w:rFonts w:ascii="Arial" w:hAnsi="Arial" w:cs="Arial"/>
            <w:noProof/>
            <w:webHidden/>
          </w:rPr>
          <w:tab/>
        </w:r>
        <w:r w:rsidR="00B71AFF" w:rsidRPr="00B71AFF">
          <w:rPr>
            <w:rFonts w:ascii="Arial" w:hAnsi="Arial" w:cs="Arial"/>
            <w:noProof/>
            <w:webHidden/>
          </w:rPr>
          <w:fldChar w:fldCharType="begin"/>
        </w:r>
        <w:r w:rsidR="00B71AFF" w:rsidRPr="00B71AFF">
          <w:rPr>
            <w:rFonts w:ascii="Arial" w:hAnsi="Arial" w:cs="Arial"/>
            <w:noProof/>
            <w:webHidden/>
          </w:rPr>
          <w:instrText xml:space="preserve"> PAGEREF _Toc63433893 \h </w:instrText>
        </w:r>
        <w:r w:rsidR="00B71AFF" w:rsidRPr="00B71AFF">
          <w:rPr>
            <w:rFonts w:ascii="Arial" w:hAnsi="Arial" w:cs="Arial"/>
            <w:noProof/>
            <w:webHidden/>
          </w:rPr>
        </w:r>
        <w:r w:rsidR="00B71AFF" w:rsidRPr="00B71AF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B71AFF" w:rsidRPr="00B71AFF">
          <w:rPr>
            <w:rFonts w:ascii="Arial" w:hAnsi="Arial" w:cs="Arial"/>
            <w:noProof/>
            <w:webHidden/>
          </w:rPr>
          <w:fldChar w:fldCharType="end"/>
        </w:r>
      </w:hyperlink>
    </w:p>
    <w:p w14:paraId="2855A781" w14:textId="416916B1" w:rsidR="00B71AFF" w:rsidRPr="00B71AFF" w:rsidRDefault="00D84E20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lang w:eastAsia="cs-CZ"/>
        </w:rPr>
      </w:pPr>
      <w:hyperlink w:anchor="_Toc63433894" w:history="1">
        <w:r w:rsidR="00B71AFF" w:rsidRPr="00B71AFF">
          <w:rPr>
            <w:rStyle w:val="Hypertextovodkaz"/>
            <w:rFonts w:ascii="Arial" w:hAnsi="Arial" w:cs="Arial"/>
            <w:noProof/>
          </w:rPr>
          <w:t>2. Jaká byla situace v oblasti komunikace evropských záležitostí v roce 2020?</w:t>
        </w:r>
        <w:r w:rsidR="00B71AFF" w:rsidRPr="00B71AFF">
          <w:rPr>
            <w:rFonts w:ascii="Arial" w:hAnsi="Arial" w:cs="Arial"/>
            <w:noProof/>
            <w:webHidden/>
          </w:rPr>
          <w:tab/>
        </w:r>
        <w:r w:rsidR="00B71AFF" w:rsidRPr="00B71AFF">
          <w:rPr>
            <w:rFonts w:ascii="Arial" w:hAnsi="Arial" w:cs="Arial"/>
            <w:noProof/>
            <w:webHidden/>
          </w:rPr>
          <w:fldChar w:fldCharType="begin"/>
        </w:r>
        <w:r w:rsidR="00B71AFF" w:rsidRPr="00B71AFF">
          <w:rPr>
            <w:rFonts w:ascii="Arial" w:hAnsi="Arial" w:cs="Arial"/>
            <w:noProof/>
            <w:webHidden/>
          </w:rPr>
          <w:instrText xml:space="preserve"> PAGEREF _Toc63433894 \h </w:instrText>
        </w:r>
        <w:r w:rsidR="00B71AFF" w:rsidRPr="00B71AFF">
          <w:rPr>
            <w:rFonts w:ascii="Arial" w:hAnsi="Arial" w:cs="Arial"/>
            <w:noProof/>
            <w:webHidden/>
          </w:rPr>
        </w:r>
        <w:r w:rsidR="00B71AFF" w:rsidRPr="00B71AF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B71AFF" w:rsidRPr="00B71AFF">
          <w:rPr>
            <w:rFonts w:ascii="Arial" w:hAnsi="Arial" w:cs="Arial"/>
            <w:noProof/>
            <w:webHidden/>
          </w:rPr>
          <w:fldChar w:fldCharType="end"/>
        </w:r>
      </w:hyperlink>
    </w:p>
    <w:p w14:paraId="7907CE03" w14:textId="2849E051" w:rsidR="00B71AFF" w:rsidRPr="00B71AFF" w:rsidRDefault="00D84E20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lang w:eastAsia="cs-CZ"/>
        </w:rPr>
      </w:pPr>
      <w:hyperlink w:anchor="_Toc63433895" w:history="1">
        <w:r w:rsidR="00B71AFF" w:rsidRPr="00B71AFF">
          <w:rPr>
            <w:rStyle w:val="Hypertextovodkaz"/>
            <w:rFonts w:ascii="Arial" w:hAnsi="Arial" w:cs="Arial"/>
            <w:noProof/>
          </w:rPr>
          <w:t>3. Jak byly komunikovány priority v roce 2020?</w:t>
        </w:r>
        <w:r w:rsidR="00B71AFF" w:rsidRPr="00B71AFF">
          <w:rPr>
            <w:rFonts w:ascii="Arial" w:hAnsi="Arial" w:cs="Arial"/>
            <w:noProof/>
            <w:webHidden/>
          </w:rPr>
          <w:tab/>
        </w:r>
        <w:r w:rsidR="00B71AFF" w:rsidRPr="00B71AFF">
          <w:rPr>
            <w:rFonts w:ascii="Arial" w:hAnsi="Arial" w:cs="Arial"/>
            <w:noProof/>
            <w:webHidden/>
          </w:rPr>
          <w:fldChar w:fldCharType="begin"/>
        </w:r>
        <w:r w:rsidR="00B71AFF" w:rsidRPr="00B71AFF">
          <w:rPr>
            <w:rFonts w:ascii="Arial" w:hAnsi="Arial" w:cs="Arial"/>
            <w:noProof/>
            <w:webHidden/>
          </w:rPr>
          <w:instrText xml:space="preserve"> PAGEREF _Toc63433895 \h </w:instrText>
        </w:r>
        <w:r w:rsidR="00B71AFF" w:rsidRPr="00B71AFF">
          <w:rPr>
            <w:rFonts w:ascii="Arial" w:hAnsi="Arial" w:cs="Arial"/>
            <w:noProof/>
            <w:webHidden/>
          </w:rPr>
        </w:r>
        <w:r w:rsidR="00B71AFF" w:rsidRPr="00B71AF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="00B71AFF" w:rsidRPr="00B71AFF">
          <w:rPr>
            <w:rFonts w:ascii="Arial" w:hAnsi="Arial" w:cs="Arial"/>
            <w:noProof/>
            <w:webHidden/>
          </w:rPr>
          <w:fldChar w:fldCharType="end"/>
        </w:r>
      </w:hyperlink>
    </w:p>
    <w:p w14:paraId="3B77343D" w14:textId="7267EA69" w:rsidR="00B71AFF" w:rsidRPr="00B71AFF" w:rsidRDefault="00D84E20">
      <w:pPr>
        <w:pStyle w:val="Obsah1"/>
        <w:tabs>
          <w:tab w:val="right" w:leader="dot" w:pos="9062"/>
        </w:tabs>
        <w:rPr>
          <w:rFonts w:ascii="Arial" w:eastAsiaTheme="minorEastAsia" w:hAnsi="Arial" w:cs="Arial"/>
          <w:noProof/>
          <w:lang w:eastAsia="cs-CZ"/>
        </w:rPr>
      </w:pPr>
      <w:hyperlink w:anchor="_Toc63433896" w:history="1">
        <w:r w:rsidR="00B71AFF" w:rsidRPr="00B71AFF">
          <w:rPr>
            <w:rStyle w:val="Hypertextovodkaz"/>
            <w:rFonts w:ascii="Arial" w:hAnsi="Arial" w:cs="Arial"/>
            <w:noProof/>
          </w:rPr>
          <w:t>4. Na co se zaměříme v roce 2021?</w:t>
        </w:r>
        <w:r w:rsidR="00B71AFF" w:rsidRPr="00B71AFF">
          <w:rPr>
            <w:rFonts w:ascii="Arial" w:hAnsi="Arial" w:cs="Arial"/>
            <w:noProof/>
            <w:webHidden/>
          </w:rPr>
          <w:tab/>
        </w:r>
        <w:r w:rsidR="00B71AFF" w:rsidRPr="00B71AFF">
          <w:rPr>
            <w:rFonts w:ascii="Arial" w:hAnsi="Arial" w:cs="Arial"/>
            <w:noProof/>
            <w:webHidden/>
          </w:rPr>
          <w:fldChar w:fldCharType="begin"/>
        </w:r>
        <w:r w:rsidR="00B71AFF" w:rsidRPr="00B71AFF">
          <w:rPr>
            <w:rFonts w:ascii="Arial" w:hAnsi="Arial" w:cs="Arial"/>
            <w:noProof/>
            <w:webHidden/>
          </w:rPr>
          <w:instrText xml:space="preserve"> PAGEREF _Toc63433896 \h </w:instrText>
        </w:r>
        <w:r w:rsidR="00B71AFF" w:rsidRPr="00B71AFF">
          <w:rPr>
            <w:rFonts w:ascii="Arial" w:hAnsi="Arial" w:cs="Arial"/>
            <w:noProof/>
            <w:webHidden/>
          </w:rPr>
        </w:r>
        <w:r w:rsidR="00B71AFF" w:rsidRPr="00B71AF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="00B71AFF" w:rsidRPr="00B71AFF">
          <w:rPr>
            <w:rFonts w:ascii="Arial" w:hAnsi="Arial" w:cs="Arial"/>
            <w:noProof/>
            <w:webHidden/>
          </w:rPr>
          <w:fldChar w:fldCharType="end"/>
        </w:r>
      </w:hyperlink>
    </w:p>
    <w:p w14:paraId="5AC5A540" w14:textId="77777777" w:rsidR="00C77D9F" w:rsidRPr="001B5D58" w:rsidRDefault="00C77D9F" w:rsidP="00BE08D6">
      <w:pPr>
        <w:spacing w:line="288" w:lineRule="auto"/>
        <w:rPr>
          <w:rFonts w:ascii="Arial" w:hAnsi="Arial" w:cs="Arial"/>
          <w:b/>
          <w:bCs/>
        </w:rPr>
      </w:pPr>
      <w:r w:rsidRPr="001B5D58">
        <w:rPr>
          <w:rFonts w:ascii="Arial" w:hAnsi="Arial" w:cs="Arial"/>
        </w:rPr>
        <w:fldChar w:fldCharType="end"/>
      </w:r>
    </w:p>
    <w:p w14:paraId="6B616289" w14:textId="77777777" w:rsidR="00C77D9F" w:rsidRPr="001B5D58" w:rsidRDefault="00C77D9F" w:rsidP="00BE08D6">
      <w:pPr>
        <w:spacing w:line="288" w:lineRule="auto"/>
        <w:rPr>
          <w:rFonts w:ascii="Arial" w:hAnsi="Arial" w:cs="Arial"/>
          <w:b/>
          <w:bCs/>
        </w:rPr>
      </w:pPr>
    </w:p>
    <w:p w14:paraId="120E1D41" w14:textId="77777777" w:rsidR="00C77D9F" w:rsidRPr="001B5D58" w:rsidRDefault="00C77D9F" w:rsidP="00BE08D6">
      <w:pPr>
        <w:spacing w:line="288" w:lineRule="auto"/>
        <w:rPr>
          <w:rFonts w:ascii="Arial" w:hAnsi="Arial" w:cs="Arial"/>
          <w:b/>
          <w:bCs/>
        </w:rPr>
      </w:pPr>
    </w:p>
    <w:p w14:paraId="42850747" w14:textId="77777777" w:rsidR="00C77D9F" w:rsidRPr="001B5D58" w:rsidRDefault="00C77D9F" w:rsidP="00BE08D6">
      <w:pPr>
        <w:spacing w:line="288" w:lineRule="auto"/>
        <w:rPr>
          <w:rFonts w:ascii="Arial" w:hAnsi="Arial" w:cs="Arial"/>
        </w:rPr>
      </w:pPr>
    </w:p>
    <w:p w14:paraId="0474FF45" w14:textId="77777777" w:rsidR="00C77D9F" w:rsidRPr="001B5D58" w:rsidRDefault="00C77D9F" w:rsidP="00BE08D6">
      <w:pPr>
        <w:spacing w:line="288" w:lineRule="auto"/>
        <w:rPr>
          <w:rFonts w:ascii="Arial" w:hAnsi="Arial" w:cs="Arial"/>
        </w:rPr>
      </w:pPr>
      <w:r w:rsidRPr="001B5D58">
        <w:rPr>
          <w:rFonts w:ascii="Arial" w:hAnsi="Arial" w:cs="Arial"/>
        </w:rPr>
        <w:br w:type="page"/>
      </w:r>
    </w:p>
    <w:p w14:paraId="1771B0B1" w14:textId="77777777" w:rsidR="00AE3D31" w:rsidRPr="001B5D58" w:rsidRDefault="00AE3D31" w:rsidP="00BE08D6">
      <w:pPr>
        <w:pStyle w:val="Nadpis1"/>
        <w:spacing w:before="720" w:line="288" w:lineRule="auto"/>
        <w:rPr>
          <w:rFonts w:ascii="Arial" w:hAnsi="Arial" w:cs="Arial"/>
          <w:color w:val="auto"/>
          <w:sz w:val="22"/>
          <w:szCs w:val="22"/>
        </w:rPr>
      </w:pPr>
      <w:bookmarkStart w:id="10" w:name="_Toc63433893"/>
      <w:r w:rsidRPr="001B5D58">
        <w:lastRenderedPageBreak/>
        <w:t>1. Proč je aktualizace přijímaná?</w:t>
      </w:r>
      <w:bookmarkEnd w:id="10"/>
    </w:p>
    <w:p w14:paraId="7F9439BC" w14:textId="77777777" w:rsidR="00C77D9F" w:rsidRPr="001B5D58" w:rsidRDefault="00C77D9F" w:rsidP="00BE08D6">
      <w:pPr>
        <w:spacing w:line="288" w:lineRule="auto"/>
        <w:jc w:val="both"/>
        <w:rPr>
          <w:rFonts w:ascii="Arial" w:hAnsi="Arial" w:cs="Arial"/>
        </w:rPr>
      </w:pPr>
      <w:r w:rsidRPr="001B5D58">
        <w:rPr>
          <w:rFonts w:ascii="Arial" w:hAnsi="Arial" w:cs="Arial"/>
        </w:rPr>
        <w:t>Komunikační strategie o evropských záležitoste</w:t>
      </w:r>
      <w:r w:rsidR="00323238" w:rsidRPr="001B5D58">
        <w:rPr>
          <w:rFonts w:ascii="Arial" w:hAnsi="Arial" w:cs="Arial"/>
        </w:rPr>
        <w:t xml:space="preserve">ch (dále jen jako „Strategie“) </w:t>
      </w:r>
      <w:r w:rsidRPr="001B5D58">
        <w:rPr>
          <w:rFonts w:ascii="Arial" w:hAnsi="Arial" w:cs="Arial"/>
        </w:rPr>
        <w:t xml:space="preserve">byla přijata Výborem pro EU dne 24. listopadu 2015. </w:t>
      </w:r>
      <w:r w:rsidR="008073A9">
        <w:rPr>
          <w:rFonts w:ascii="Arial" w:hAnsi="Arial" w:cs="Arial"/>
        </w:rPr>
        <w:t>Strategie</w:t>
      </w:r>
      <w:r w:rsidRPr="001B5D58">
        <w:rPr>
          <w:rFonts w:ascii="Arial" w:hAnsi="Arial" w:cs="Arial"/>
        </w:rPr>
        <w:t xml:space="preserve"> dává ucelený rámec komunikačním aktivitám vlády v oblasti evropských záležitostí a klade si za cíl seznámit občany s fungováním EU, rolí ČR v ní a vést debatu o české evropské politice. </w:t>
      </w:r>
    </w:p>
    <w:p w14:paraId="7477CD6A" w14:textId="77777777" w:rsidR="00C77D9F" w:rsidRPr="001B5D58" w:rsidRDefault="00C77D9F" w:rsidP="00BE08D6">
      <w:pPr>
        <w:spacing w:line="288" w:lineRule="auto"/>
        <w:jc w:val="both"/>
        <w:rPr>
          <w:rFonts w:ascii="Arial" w:hAnsi="Arial" w:cs="Arial"/>
        </w:rPr>
      </w:pPr>
      <w:r w:rsidRPr="001B5D58">
        <w:rPr>
          <w:rFonts w:ascii="Arial" w:hAnsi="Arial" w:cs="Arial"/>
        </w:rPr>
        <w:t xml:space="preserve">Strategie stanovila, že dlouhodobé cíle </w:t>
      </w:r>
      <w:r w:rsidR="00A3372D" w:rsidRPr="001B5D58">
        <w:rPr>
          <w:rFonts w:ascii="Arial" w:hAnsi="Arial" w:cs="Arial"/>
        </w:rPr>
        <w:t xml:space="preserve">veřejné </w:t>
      </w:r>
      <w:r w:rsidRPr="001B5D58">
        <w:rPr>
          <w:rFonts w:ascii="Arial" w:hAnsi="Arial" w:cs="Arial"/>
        </w:rPr>
        <w:t>komunikace budou</w:t>
      </w:r>
      <w:r w:rsidR="00A3372D" w:rsidRPr="001B5D58">
        <w:rPr>
          <w:rFonts w:ascii="Arial" w:hAnsi="Arial" w:cs="Arial"/>
        </w:rPr>
        <w:t xml:space="preserve"> sledovány a </w:t>
      </w:r>
      <w:r w:rsidRPr="001B5D58">
        <w:rPr>
          <w:rFonts w:ascii="Arial" w:hAnsi="Arial" w:cs="Arial"/>
        </w:rPr>
        <w:t>vyhodnocovány na základě indikátorů stanovených u jednotlivých komunikačních priorit jednou ročně a budou součástí aktualizace této Strategie. V zásadě budou využita dle vhodnosti následující kritéria:</w:t>
      </w:r>
    </w:p>
    <w:p w14:paraId="33105FE8" w14:textId="77777777" w:rsidR="00C77D9F" w:rsidRPr="001B5D58" w:rsidRDefault="00C77D9F" w:rsidP="00BE08D6">
      <w:pPr>
        <w:pStyle w:val="Odstavecseseznamem"/>
        <w:numPr>
          <w:ilvl w:val="0"/>
          <w:numId w:val="24"/>
        </w:numPr>
        <w:spacing w:after="240" w:line="288" w:lineRule="auto"/>
        <w:jc w:val="both"/>
        <w:rPr>
          <w:rFonts w:ascii="Arial" w:hAnsi="Arial" w:cs="Arial"/>
          <w:b/>
        </w:rPr>
      </w:pPr>
      <w:r w:rsidRPr="001B5D58">
        <w:rPr>
          <w:rFonts w:ascii="Arial" w:hAnsi="Arial" w:cs="Arial"/>
          <w:b/>
        </w:rPr>
        <w:t xml:space="preserve">Primární kritérium: sledování změny postoje české veřejnosti k Evropské unii </w:t>
      </w:r>
    </w:p>
    <w:p w14:paraId="163C1FA0" w14:textId="77777777" w:rsidR="00C77D9F" w:rsidRPr="001B5D58" w:rsidRDefault="00C77D9F" w:rsidP="00BE08D6">
      <w:pPr>
        <w:pStyle w:val="Odstavecseseznamem"/>
        <w:numPr>
          <w:ilvl w:val="1"/>
          <w:numId w:val="24"/>
        </w:numPr>
        <w:spacing w:after="240" w:line="288" w:lineRule="auto"/>
        <w:jc w:val="both"/>
        <w:rPr>
          <w:rFonts w:ascii="Arial" w:hAnsi="Arial" w:cs="Arial"/>
        </w:rPr>
      </w:pPr>
      <w:r w:rsidRPr="001B5D58">
        <w:rPr>
          <w:rFonts w:ascii="Arial" w:hAnsi="Arial" w:cs="Arial"/>
        </w:rPr>
        <w:t>Nástroj: pravidelné sociologické průzkumy se standardizovanými otázkami, umožňující meziroční srovnávání a identifikaci trendů s cílem reagovat na ně a přizpůsobit komunikaci aktuálním podmínkám.</w:t>
      </w:r>
    </w:p>
    <w:p w14:paraId="1B95F686" w14:textId="77777777" w:rsidR="00C77D9F" w:rsidRPr="001B5D58" w:rsidRDefault="00C77D9F" w:rsidP="00BE08D6">
      <w:pPr>
        <w:pStyle w:val="Odstavecseseznamem"/>
        <w:numPr>
          <w:ilvl w:val="0"/>
          <w:numId w:val="24"/>
        </w:numPr>
        <w:spacing w:after="240" w:line="288" w:lineRule="auto"/>
        <w:jc w:val="both"/>
        <w:rPr>
          <w:rFonts w:ascii="Arial" w:hAnsi="Arial" w:cs="Arial"/>
          <w:b/>
        </w:rPr>
      </w:pPr>
      <w:r w:rsidRPr="001B5D58">
        <w:rPr>
          <w:rFonts w:ascii="Arial" w:hAnsi="Arial" w:cs="Arial"/>
          <w:b/>
        </w:rPr>
        <w:t>Sekundární kritérium: sledování množství jednotlivých informační</w:t>
      </w:r>
      <w:r w:rsidR="00A3372D" w:rsidRPr="001B5D58">
        <w:rPr>
          <w:rFonts w:ascii="Arial" w:hAnsi="Arial" w:cs="Arial"/>
          <w:b/>
        </w:rPr>
        <w:t>ch</w:t>
      </w:r>
      <w:r w:rsidRPr="001B5D58">
        <w:rPr>
          <w:rFonts w:ascii="Arial" w:hAnsi="Arial" w:cs="Arial"/>
          <w:b/>
        </w:rPr>
        <w:t xml:space="preserve"> akcí/výstupů </w:t>
      </w:r>
    </w:p>
    <w:p w14:paraId="631F2B66" w14:textId="77777777" w:rsidR="00C77D9F" w:rsidRPr="001B5D58" w:rsidRDefault="00C77D9F" w:rsidP="00BE08D6">
      <w:pPr>
        <w:pStyle w:val="Odstavecseseznamem"/>
        <w:numPr>
          <w:ilvl w:val="1"/>
          <w:numId w:val="24"/>
        </w:numPr>
        <w:spacing w:after="240" w:line="288" w:lineRule="auto"/>
        <w:jc w:val="both"/>
        <w:rPr>
          <w:rFonts w:ascii="Arial" w:hAnsi="Arial" w:cs="Arial"/>
        </w:rPr>
      </w:pPr>
      <w:r w:rsidRPr="001B5D58">
        <w:rPr>
          <w:rFonts w:ascii="Arial" w:hAnsi="Arial" w:cs="Arial"/>
        </w:rPr>
        <w:t>Nástroj: každoroční vyhodnocení činnosti předkládané vládnímu Výboru pro EU, které bude obsahovat přehledný souhrn aktivit za předešlý rok vykonaných při implementaci Strategie, kvantifikované výsledky a meziroční srovnání.</w:t>
      </w:r>
    </w:p>
    <w:p w14:paraId="3DD0D527" w14:textId="77777777" w:rsidR="00C77D9F" w:rsidRPr="001B5D58" w:rsidRDefault="00C77D9F" w:rsidP="00BE08D6">
      <w:pPr>
        <w:pStyle w:val="Odstavecseseznamem"/>
        <w:numPr>
          <w:ilvl w:val="0"/>
          <w:numId w:val="24"/>
        </w:numPr>
        <w:spacing w:after="240" w:line="288" w:lineRule="auto"/>
        <w:jc w:val="both"/>
        <w:rPr>
          <w:rFonts w:ascii="Arial" w:hAnsi="Arial" w:cs="Arial"/>
          <w:b/>
        </w:rPr>
      </w:pPr>
      <w:r w:rsidRPr="001B5D58">
        <w:rPr>
          <w:rFonts w:ascii="Arial" w:hAnsi="Arial" w:cs="Arial"/>
          <w:b/>
        </w:rPr>
        <w:t>Terciární kritérium: sledování odezvy veřejnosti</w:t>
      </w:r>
    </w:p>
    <w:p w14:paraId="0F8DFEA1" w14:textId="77777777" w:rsidR="00C77D9F" w:rsidRPr="001B5D58" w:rsidRDefault="00C77D9F" w:rsidP="00BE08D6">
      <w:pPr>
        <w:pStyle w:val="Odstavecseseznamem"/>
        <w:numPr>
          <w:ilvl w:val="1"/>
          <w:numId w:val="24"/>
        </w:numPr>
        <w:spacing w:after="240" w:line="288" w:lineRule="auto"/>
        <w:jc w:val="both"/>
        <w:rPr>
          <w:rFonts w:ascii="Arial" w:hAnsi="Arial" w:cs="Arial"/>
        </w:rPr>
      </w:pPr>
      <w:r w:rsidRPr="001B5D58">
        <w:rPr>
          <w:rFonts w:ascii="Arial" w:hAnsi="Arial" w:cs="Arial"/>
        </w:rPr>
        <w:t xml:space="preserve">Sledování činností, které vyžadují vyvinutí aktivity ze strany veřejnosti – např. sledování počtu postů/otázek položených na </w:t>
      </w:r>
      <w:proofErr w:type="spellStart"/>
      <w:r w:rsidRPr="001B5D58">
        <w:rPr>
          <w:rFonts w:ascii="Arial" w:hAnsi="Arial" w:cs="Arial"/>
        </w:rPr>
        <w:t>Facebooku</w:t>
      </w:r>
      <w:proofErr w:type="spellEnd"/>
      <w:r w:rsidRPr="001B5D58">
        <w:rPr>
          <w:rFonts w:ascii="Arial" w:hAnsi="Arial" w:cs="Arial"/>
        </w:rPr>
        <w:t>, re-</w:t>
      </w:r>
      <w:proofErr w:type="spellStart"/>
      <w:r w:rsidRPr="001B5D58">
        <w:rPr>
          <w:rFonts w:ascii="Arial" w:hAnsi="Arial" w:cs="Arial"/>
        </w:rPr>
        <w:t>tweetů</w:t>
      </w:r>
      <w:proofErr w:type="spellEnd"/>
      <w:r w:rsidRPr="001B5D58">
        <w:rPr>
          <w:rFonts w:ascii="Arial" w:hAnsi="Arial" w:cs="Arial"/>
        </w:rPr>
        <w:t xml:space="preserve"> nebo počtu návštěv webových stránek.</w:t>
      </w:r>
    </w:p>
    <w:p w14:paraId="556E2893" w14:textId="5386F8BA" w:rsidR="00C77D9F" w:rsidRDefault="00C77D9F" w:rsidP="00BE08D6">
      <w:pPr>
        <w:spacing w:line="288" w:lineRule="auto"/>
        <w:jc w:val="both"/>
        <w:rPr>
          <w:rFonts w:ascii="Arial" w:hAnsi="Arial" w:cs="Arial"/>
        </w:rPr>
      </w:pPr>
      <w:r w:rsidRPr="001B5D58">
        <w:rPr>
          <w:rFonts w:ascii="Arial" w:hAnsi="Arial" w:cs="Arial"/>
        </w:rPr>
        <w:t xml:space="preserve">Zároveň Strategie stanovila, že pro každý rok budou voleny na základě Koncepce politiky ČR v EU konkrétní komunikační priority zohledňující aktuální vývoj evropské integrace, situaci v rámci České republiky a případné komunikační priority </w:t>
      </w:r>
      <w:r w:rsidR="00F37F4F">
        <w:rPr>
          <w:rFonts w:ascii="Arial" w:hAnsi="Arial" w:cs="Arial"/>
        </w:rPr>
        <w:t xml:space="preserve">a aktivity </w:t>
      </w:r>
      <w:r w:rsidRPr="001B5D58">
        <w:rPr>
          <w:rFonts w:ascii="Arial" w:hAnsi="Arial" w:cs="Arial"/>
        </w:rPr>
        <w:t>stanovené na celoevropské úr</w:t>
      </w:r>
      <w:r w:rsidR="00AF370B">
        <w:rPr>
          <w:rFonts w:ascii="Arial" w:hAnsi="Arial" w:cs="Arial"/>
        </w:rPr>
        <w:t>ovni. Součástí této aktualizace</w:t>
      </w:r>
      <w:r w:rsidRPr="001B5D58">
        <w:rPr>
          <w:rFonts w:ascii="Arial" w:hAnsi="Arial" w:cs="Arial"/>
        </w:rPr>
        <w:t xml:space="preserve"> schvalo</w:t>
      </w:r>
      <w:r w:rsidR="00AF370B">
        <w:rPr>
          <w:rFonts w:ascii="Arial" w:hAnsi="Arial" w:cs="Arial"/>
        </w:rPr>
        <w:t>vané Výborem pro Evropskou unii</w:t>
      </w:r>
      <w:r w:rsidRPr="001B5D58">
        <w:rPr>
          <w:rFonts w:ascii="Arial" w:hAnsi="Arial" w:cs="Arial"/>
        </w:rPr>
        <w:t xml:space="preserve"> je i vyhodnocení plnění Strategie v uplynulém roce a analýza aktuálních pos</w:t>
      </w:r>
      <w:r w:rsidR="00A3372D" w:rsidRPr="001B5D58">
        <w:rPr>
          <w:rFonts w:ascii="Arial" w:hAnsi="Arial" w:cs="Arial"/>
        </w:rPr>
        <w:t>tojů veřejnosti k Evropské unii.</w:t>
      </w:r>
      <w:r w:rsidR="00B71539" w:rsidRPr="001B5D58">
        <w:rPr>
          <w:rFonts w:ascii="Arial" w:hAnsi="Arial" w:cs="Arial"/>
        </w:rPr>
        <w:t xml:space="preserve"> </w:t>
      </w:r>
    </w:p>
    <w:p w14:paraId="7E17712E" w14:textId="77777777" w:rsidR="005A4965" w:rsidRDefault="005A4965" w:rsidP="00BE08D6">
      <w:pPr>
        <w:spacing w:line="288" w:lineRule="auto"/>
        <w:jc w:val="both"/>
        <w:rPr>
          <w:rFonts w:ascii="Arial" w:hAnsi="Arial" w:cs="Arial"/>
        </w:rPr>
      </w:pPr>
    </w:p>
    <w:p w14:paraId="645DF37C" w14:textId="77777777" w:rsidR="005A4965" w:rsidRDefault="005A4965" w:rsidP="00BE08D6">
      <w:pPr>
        <w:spacing w:line="288" w:lineRule="auto"/>
        <w:jc w:val="both"/>
        <w:rPr>
          <w:rFonts w:ascii="Arial" w:hAnsi="Arial" w:cs="Arial"/>
        </w:rPr>
      </w:pPr>
    </w:p>
    <w:p w14:paraId="0352CCF8" w14:textId="77777777" w:rsidR="005A4965" w:rsidRDefault="005A4965" w:rsidP="00BE08D6">
      <w:pPr>
        <w:spacing w:line="288" w:lineRule="auto"/>
        <w:jc w:val="both"/>
        <w:rPr>
          <w:rFonts w:ascii="Arial" w:hAnsi="Arial" w:cs="Arial"/>
        </w:rPr>
      </w:pPr>
    </w:p>
    <w:p w14:paraId="1A8DEF4F" w14:textId="77777777" w:rsidR="005A4965" w:rsidRDefault="005A4965" w:rsidP="00BE08D6">
      <w:pPr>
        <w:spacing w:line="288" w:lineRule="auto"/>
        <w:jc w:val="both"/>
        <w:rPr>
          <w:rFonts w:ascii="Arial" w:hAnsi="Arial" w:cs="Arial"/>
        </w:rPr>
      </w:pPr>
    </w:p>
    <w:p w14:paraId="5222596E" w14:textId="77777777" w:rsidR="005A4965" w:rsidRPr="001B5D58" w:rsidRDefault="005A4965" w:rsidP="00BE08D6">
      <w:pPr>
        <w:spacing w:line="288" w:lineRule="auto"/>
        <w:jc w:val="both"/>
        <w:rPr>
          <w:rFonts w:ascii="Arial" w:hAnsi="Arial" w:cs="Arial"/>
        </w:rPr>
      </w:pPr>
    </w:p>
    <w:p w14:paraId="0ACDB67E" w14:textId="77777777" w:rsidR="00D768C7" w:rsidRDefault="00D768C7">
      <w:pPr>
        <w:spacing w:after="0" w:line="240" w:lineRule="auto"/>
        <w:rPr>
          <w:rFonts w:ascii="JohnSans Text Pro" w:hAnsi="JohnSans Text Pro"/>
          <w:b/>
          <w:color w:val="284C96"/>
          <w:sz w:val="36"/>
          <w:szCs w:val="32"/>
        </w:rPr>
      </w:pPr>
      <w:r>
        <w:br w:type="page"/>
      </w:r>
    </w:p>
    <w:p w14:paraId="7345F7C6" w14:textId="0FEBF730" w:rsidR="002C2144" w:rsidRPr="002C2144" w:rsidRDefault="00AE3D31" w:rsidP="002C2144">
      <w:pPr>
        <w:pStyle w:val="Nadpis1"/>
        <w:spacing w:before="720" w:line="288" w:lineRule="auto"/>
        <w:rPr>
          <w:rFonts w:ascii="Arial" w:hAnsi="Arial" w:cs="Arial"/>
          <w:color w:val="auto"/>
          <w:sz w:val="22"/>
          <w:szCs w:val="22"/>
        </w:rPr>
      </w:pPr>
      <w:bookmarkStart w:id="11" w:name="_Toc63433894"/>
      <w:r w:rsidRPr="001B5D58">
        <w:lastRenderedPageBreak/>
        <w:t>2. Jaká byla situace v oblasti komunikace evropských záležitostí v roce 20</w:t>
      </w:r>
      <w:r w:rsidR="00D768C7">
        <w:t>2</w:t>
      </w:r>
      <w:r w:rsidR="002C2144">
        <w:t>1</w:t>
      </w:r>
      <w:r w:rsidRPr="001B5D58">
        <w:t>?</w:t>
      </w:r>
      <w:bookmarkEnd w:id="11"/>
    </w:p>
    <w:p w14:paraId="3F524F53" w14:textId="0F78F00A" w:rsidR="00D0318D" w:rsidRDefault="002C2144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C2144">
        <w:rPr>
          <w:rFonts w:ascii="Arial" w:hAnsi="Arial" w:cs="Arial"/>
          <w:sz w:val="22"/>
          <w:szCs w:val="22"/>
        </w:rPr>
        <w:t xml:space="preserve">V roce 2021 </w:t>
      </w:r>
      <w:r>
        <w:rPr>
          <w:rFonts w:ascii="Arial" w:hAnsi="Arial" w:cs="Arial"/>
          <w:sz w:val="22"/>
          <w:szCs w:val="22"/>
        </w:rPr>
        <w:t>pokračovaly ve vnímání evropských otázek českou veřejností trendy nastartované v předcházejícím období</w:t>
      </w:r>
      <w:r w:rsidR="00D0318D">
        <w:rPr>
          <w:rFonts w:ascii="Arial" w:hAnsi="Arial" w:cs="Arial"/>
          <w:sz w:val="22"/>
          <w:szCs w:val="22"/>
        </w:rPr>
        <w:t>. Došlo k mírně pozitivnímu vývoji, kdy se navzdory probíhající pandemii podařilo udržet důvěru v EU</w:t>
      </w:r>
      <w:r w:rsidR="009D5186">
        <w:rPr>
          <w:rFonts w:ascii="Arial" w:hAnsi="Arial" w:cs="Arial"/>
          <w:sz w:val="22"/>
          <w:szCs w:val="22"/>
        </w:rPr>
        <w:t xml:space="preserve"> mezi českou veřejností a dokonce</w:t>
      </w:r>
      <w:r w:rsidR="00D0318D">
        <w:rPr>
          <w:rFonts w:ascii="Arial" w:hAnsi="Arial" w:cs="Arial"/>
          <w:sz w:val="22"/>
          <w:szCs w:val="22"/>
        </w:rPr>
        <w:t xml:space="preserve"> došlo k</w:t>
      </w:r>
      <w:r w:rsidR="00F37F4F">
        <w:rPr>
          <w:rFonts w:ascii="Arial" w:hAnsi="Arial" w:cs="Arial"/>
          <w:sz w:val="22"/>
          <w:szCs w:val="22"/>
        </w:rPr>
        <w:t> </w:t>
      </w:r>
      <w:r w:rsidR="00D0318D">
        <w:rPr>
          <w:rFonts w:ascii="Arial" w:hAnsi="Arial" w:cs="Arial"/>
          <w:sz w:val="22"/>
          <w:szCs w:val="22"/>
        </w:rPr>
        <w:t>jejímu zvýšení</w:t>
      </w:r>
      <w:r>
        <w:rPr>
          <w:rFonts w:ascii="Arial" w:hAnsi="Arial" w:cs="Arial"/>
          <w:sz w:val="22"/>
          <w:szCs w:val="22"/>
        </w:rPr>
        <w:t>.</w:t>
      </w:r>
      <w:r w:rsidR="00D0318D">
        <w:rPr>
          <w:rFonts w:ascii="Arial" w:hAnsi="Arial" w:cs="Arial"/>
          <w:sz w:val="22"/>
          <w:szCs w:val="22"/>
        </w:rPr>
        <w:t xml:space="preserve"> Nejhlubší propady důvěry v rámci EU nastaly</w:t>
      </w:r>
      <w:r w:rsidR="00D0318D" w:rsidRPr="002C2144">
        <w:rPr>
          <w:rFonts w:ascii="Arial" w:hAnsi="Arial" w:cs="Arial"/>
          <w:sz w:val="22"/>
          <w:szCs w:val="22"/>
        </w:rPr>
        <w:t xml:space="preserve"> v</w:t>
      </w:r>
      <w:r w:rsidR="00D0318D">
        <w:rPr>
          <w:rFonts w:ascii="Arial" w:hAnsi="Arial" w:cs="Arial"/>
          <w:sz w:val="22"/>
          <w:szCs w:val="22"/>
        </w:rPr>
        <w:t> dobách ekonomické a</w:t>
      </w:r>
      <w:r w:rsidR="00F37F4F">
        <w:rPr>
          <w:rFonts w:ascii="Arial" w:hAnsi="Arial" w:cs="Arial"/>
          <w:sz w:val="22"/>
          <w:szCs w:val="22"/>
        </w:rPr>
        <w:t> </w:t>
      </w:r>
      <w:r w:rsidR="00D0318D">
        <w:rPr>
          <w:rFonts w:ascii="Arial" w:hAnsi="Arial" w:cs="Arial"/>
          <w:sz w:val="22"/>
          <w:szCs w:val="22"/>
        </w:rPr>
        <w:t>migrační krize v letech</w:t>
      </w:r>
      <w:r w:rsidR="00D0318D" w:rsidRPr="002C2144">
        <w:rPr>
          <w:rFonts w:ascii="Arial" w:hAnsi="Arial" w:cs="Arial"/>
          <w:sz w:val="22"/>
          <w:szCs w:val="22"/>
        </w:rPr>
        <w:t xml:space="preserve"> 2012 a 2016. </w:t>
      </w:r>
      <w:r w:rsidR="00D0318D">
        <w:rPr>
          <w:rFonts w:ascii="Arial" w:hAnsi="Arial" w:cs="Arial"/>
          <w:sz w:val="22"/>
          <w:szCs w:val="22"/>
        </w:rPr>
        <w:t>V krizi způsobené pandemií</w:t>
      </w:r>
      <w:r w:rsidR="00D0318D" w:rsidRPr="002C2144">
        <w:rPr>
          <w:rFonts w:ascii="Arial" w:hAnsi="Arial" w:cs="Arial"/>
          <w:sz w:val="22"/>
          <w:szCs w:val="22"/>
        </w:rPr>
        <w:t xml:space="preserve"> covidu-19</w:t>
      </w:r>
      <w:r w:rsidR="009D5186">
        <w:rPr>
          <w:rFonts w:ascii="Arial" w:hAnsi="Arial" w:cs="Arial"/>
          <w:sz w:val="22"/>
          <w:szCs w:val="22"/>
        </w:rPr>
        <w:t xml:space="preserve"> se tento </w:t>
      </w:r>
      <w:r w:rsidR="00F37F4F">
        <w:rPr>
          <w:rFonts w:ascii="Arial" w:hAnsi="Arial" w:cs="Arial"/>
          <w:sz w:val="22"/>
          <w:szCs w:val="22"/>
        </w:rPr>
        <w:t xml:space="preserve">fenomén </w:t>
      </w:r>
      <w:r w:rsidR="009D5186">
        <w:rPr>
          <w:rFonts w:ascii="Arial" w:hAnsi="Arial" w:cs="Arial"/>
          <w:sz w:val="22"/>
          <w:szCs w:val="22"/>
        </w:rPr>
        <w:t>podařilo pro</w:t>
      </w:r>
      <w:r w:rsidR="00D0318D" w:rsidRPr="002C2144">
        <w:rPr>
          <w:rFonts w:ascii="Arial" w:hAnsi="Arial" w:cs="Arial"/>
          <w:sz w:val="22"/>
          <w:szCs w:val="22"/>
        </w:rPr>
        <w:t>l</w:t>
      </w:r>
      <w:r w:rsidR="00D0318D">
        <w:rPr>
          <w:rFonts w:ascii="Arial" w:hAnsi="Arial" w:cs="Arial"/>
          <w:sz w:val="22"/>
          <w:szCs w:val="22"/>
        </w:rPr>
        <w:t>omit</w:t>
      </w:r>
      <w:r w:rsidR="00D0318D" w:rsidRPr="002C2144">
        <w:rPr>
          <w:rFonts w:ascii="Arial" w:hAnsi="Arial" w:cs="Arial"/>
          <w:sz w:val="22"/>
          <w:szCs w:val="22"/>
        </w:rPr>
        <w:t xml:space="preserve">. </w:t>
      </w:r>
    </w:p>
    <w:p w14:paraId="51BD02B3" w14:textId="77777777" w:rsidR="00D0318D" w:rsidRDefault="00D0318D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19ED48C" w14:textId="727CDBD4" w:rsidR="009D5186" w:rsidRDefault="009D5186" w:rsidP="00843BA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Podle celoevropského průzkumu </w:t>
      </w:r>
      <w:proofErr w:type="spellStart"/>
      <w:r>
        <w:rPr>
          <w:rFonts w:ascii="Arial" w:hAnsi="Arial" w:cs="Arial"/>
        </w:rPr>
        <w:t>Eurobarometr</w:t>
      </w:r>
      <w:proofErr w:type="spellEnd"/>
      <w:r>
        <w:rPr>
          <w:rStyle w:val="Znakapoznpodarou"/>
          <w:rFonts w:ascii="Arial" w:hAnsi="Arial"/>
        </w:rPr>
        <w:footnoteReference w:id="1"/>
      </w:r>
      <w:r>
        <w:rPr>
          <w:rFonts w:ascii="Arial" w:hAnsi="Arial" w:cs="Arial"/>
        </w:rPr>
        <w:t xml:space="preserve"> v České republice </w:t>
      </w:r>
      <w:r w:rsidRPr="009D5186">
        <w:rPr>
          <w:rFonts w:ascii="Arial" w:hAnsi="Arial" w:cs="Arial"/>
          <w:b/>
        </w:rPr>
        <w:t>vyjádřilo EU důvěru 49</w:t>
      </w:r>
      <w:r w:rsidR="00F37F4F">
        <w:rPr>
          <w:rFonts w:ascii="Arial" w:hAnsi="Arial" w:cs="Arial"/>
          <w:b/>
        </w:rPr>
        <w:t> </w:t>
      </w:r>
      <w:r w:rsidRPr="009D5186">
        <w:rPr>
          <w:rFonts w:ascii="Arial" w:hAnsi="Arial" w:cs="Arial"/>
          <w:b/>
        </w:rPr>
        <w:t>% respondentů</w:t>
      </w:r>
      <w:r>
        <w:rPr>
          <w:rFonts w:ascii="Arial" w:hAnsi="Arial" w:cs="Arial"/>
        </w:rPr>
        <w:t xml:space="preserve">, což představuje růst o celých 14 p. b. </w:t>
      </w:r>
      <w:proofErr w:type="gramStart"/>
      <w:r>
        <w:rPr>
          <w:rFonts w:ascii="Arial" w:hAnsi="Arial" w:cs="Arial"/>
        </w:rPr>
        <w:t>oproti</w:t>
      </w:r>
      <w:proofErr w:type="gramEnd"/>
      <w:r>
        <w:rPr>
          <w:rFonts w:ascii="Arial" w:hAnsi="Arial" w:cs="Arial"/>
        </w:rPr>
        <w:t xml:space="preserve"> průzkumu z roku 2020.  ČR se v tomto ukazateli dostala na hodnotu vykazující průměr celé EU. </w:t>
      </w:r>
      <w:r w:rsidRPr="009D5186">
        <w:rPr>
          <w:rFonts w:ascii="Arial" w:hAnsi="Arial" w:cs="Arial"/>
          <w:b/>
          <w:lang w:eastAsia="cs-CZ"/>
        </w:rPr>
        <w:t>Pozitivně vnímá EU 38</w:t>
      </w:r>
      <w:r w:rsidR="00F37F4F">
        <w:rPr>
          <w:rFonts w:ascii="Arial" w:hAnsi="Arial" w:cs="Arial"/>
          <w:b/>
          <w:lang w:eastAsia="cs-CZ"/>
        </w:rPr>
        <w:t> </w:t>
      </w:r>
      <w:r w:rsidRPr="009D5186">
        <w:rPr>
          <w:rFonts w:ascii="Arial" w:hAnsi="Arial" w:cs="Arial"/>
          <w:b/>
          <w:lang w:eastAsia="cs-CZ"/>
        </w:rPr>
        <w:t>% obyvatel</w:t>
      </w:r>
      <w:r>
        <w:rPr>
          <w:rFonts w:ascii="Arial" w:hAnsi="Arial" w:cs="Arial"/>
          <w:lang w:eastAsia="cs-CZ"/>
        </w:rPr>
        <w:t xml:space="preserve"> v ČR, což je také o 8 p. b. </w:t>
      </w:r>
      <w:proofErr w:type="gramStart"/>
      <w:r>
        <w:rPr>
          <w:rFonts w:ascii="Arial" w:hAnsi="Arial" w:cs="Arial"/>
          <w:lang w:eastAsia="cs-CZ"/>
        </w:rPr>
        <w:t>více</w:t>
      </w:r>
      <w:proofErr w:type="gramEnd"/>
      <w:r>
        <w:rPr>
          <w:rFonts w:ascii="Arial" w:hAnsi="Arial" w:cs="Arial"/>
          <w:lang w:eastAsia="cs-CZ"/>
        </w:rPr>
        <w:t xml:space="preserve"> než v roce 2020</w:t>
      </w:r>
      <w:r w:rsidRPr="002A45E8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>V celé EU pozitivně vnímá EU 45</w:t>
      </w:r>
      <w:r w:rsidR="00F37F4F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 xml:space="preserve">% obyvatel. </w:t>
      </w:r>
      <w:r w:rsidRPr="009D5186">
        <w:rPr>
          <w:rFonts w:ascii="Arial" w:hAnsi="Arial" w:cs="Arial"/>
          <w:b/>
          <w:lang w:eastAsia="cs-CZ"/>
        </w:rPr>
        <w:t>67 % Čechů se vyjádřilo, že se cítí být občany EU</w:t>
      </w:r>
      <w:r>
        <w:rPr>
          <w:rFonts w:ascii="Arial" w:hAnsi="Arial" w:cs="Arial"/>
          <w:lang w:eastAsia="cs-CZ"/>
        </w:rPr>
        <w:t xml:space="preserve">, což je o 7 </w:t>
      </w:r>
      <w:proofErr w:type="spellStart"/>
      <w:proofErr w:type="gramStart"/>
      <w:r>
        <w:rPr>
          <w:rFonts w:ascii="Arial" w:hAnsi="Arial" w:cs="Arial"/>
          <w:lang w:eastAsia="cs-CZ"/>
        </w:rPr>
        <w:t>p.b</w:t>
      </w:r>
      <w:proofErr w:type="spellEnd"/>
      <w:r>
        <w:rPr>
          <w:rFonts w:ascii="Arial" w:hAnsi="Arial" w:cs="Arial"/>
          <w:lang w:eastAsia="cs-CZ"/>
        </w:rPr>
        <w:t>. více</w:t>
      </w:r>
      <w:proofErr w:type="gramEnd"/>
      <w:r>
        <w:rPr>
          <w:rFonts w:ascii="Arial" w:hAnsi="Arial" w:cs="Arial"/>
          <w:lang w:eastAsia="cs-CZ"/>
        </w:rPr>
        <w:t xml:space="preserve"> než před rokem. V celé EU se takto vyjádřilo 72 % respondentů. </w:t>
      </w:r>
    </w:p>
    <w:p w14:paraId="73F631D5" w14:textId="073F20E9" w:rsidR="00CD5627" w:rsidRDefault="00CD5627" w:rsidP="00843BA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cs-CZ"/>
        </w:rPr>
      </w:pPr>
    </w:p>
    <w:p w14:paraId="1BDE3F79" w14:textId="4CFD190A" w:rsidR="00CD5627" w:rsidRDefault="002562D0" w:rsidP="00843BA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4B67B70" wp14:editId="34457EAC">
            <wp:extent cx="5760720" cy="22383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B95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EE5E7" w14:textId="15BC7FC0" w:rsidR="002562D0" w:rsidRPr="002562D0" w:rsidRDefault="002562D0" w:rsidP="00843BA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 w:rsidRPr="002562D0">
        <w:rPr>
          <w:rFonts w:ascii="Arial" w:hAnsi="Arial" w:cs="Arial"/>
          <w:i/>
          <w:sz w:val="16"/>
          <w:szCs w:val="16"/>
          <w:lang w:eastAsia="cs-CZ"/>
        </w:rPr>
        <w:t>Odpovědi na otázku „Do jaké míry důvěřujete Evropské unii?</w:t>
      </w:r>
      <w:r>
        <w:rPr>
          <w:rFonts w:ascii="Arial" w:hAnsi="Arial" w:cs="Arial"/>
          <w:i/>
          <w:sz w:val="16"/>
          <w:szCs w:val="16"/>
          <w:lang w:eastAsia="cs-CZ"/>
        </w:rPr>
        <w:t>,</w:t>
      </w:r>
      <w:r w:rsidRPr="002562D0">
        <w:rPr>
          <w:rFonts w:ascii="Arial" w:hAnsi="Arial" w:cs="Arial"/>
          <w:i/>
          <w:sz w:val="16"/>
          <w:szCs w:val="16"/>
          <w:lang w:eastAsia="cs-CZ"/>
        </w:rPr>
        <w:t> </w:t>
      </w:r>
      <w:proofErr w:type="spellStart"/>
      <w:r>
        <w:rPr>
          <w:rFonts w:ascii="Arial" w:hAnsi="Arial" w:cs="Arial"/>
          <w:i/>
          <w:sz w:val="16"/>
          <w:szCs w:val="16"/>
          <w:lang w:eastAsia="cs-CZ"/>
        </w:rPr>
        <w:t>Eurobarometr</w:t>
      </w:r>
      <w:proofErr w:type="spellEnd"/>
      <w:r w:rsidRPr="002562D0">
        <w:rPr>
          <w:rFonts w:ascii="Arial" w:hAnsi="Arial" w:cs="Arial"/>
          <w:i/>
          <w:sz w:val="16"/>
          <w:szCs w:val="16"/>
          <w:lang w:eastAsia="cs-CZ"/>
        </w:rPr>
        <w:t xml:space="preserve"> č. 95.</w:t>
      </w:r>
    </w:p>
    <w:p w14:paraId="5C616E74" w14:textId="69E532D4" w:rsidR="002562D0" w:rsidRPr="002562D0" w:rsidRDefault="003C338E" w:rsidP="00843BA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i/>
          <w:sz w:val="16"/>
          <w:szCs w:val="16"/>
          <w:lang w:eastAsia="cs-CZ"/>
        </w:rPr>
        <w:t xml:space="preserve">Modrá - Spíše důvěřuji; Červená - Spíše nedůvěřuji; Šedá - </w:t>
      </w:r>
      <w:r w:rsidR="002562D0" w:rsidRPr="002562D0">
        <w:rPr>
          <w:rFonts w:ascii="Arial" w:hAnsi="Arial" w:cs="Arial"/>
          <w:i/>
          <w:sz w:val="16"/>
          <w:szCs w:val="16"/>
          <w:lang w:eastAsia="cs-CZ"/>
        </w:rPr>
        <w:t>Nevím</w:t>
      </w:r>
    </w:p>
    <w:p w14:paraId="63A19A23" w14:textId="77777777" w:rsidR="00CD5627" w:rsidRDefault="00CD5627" w:rsidP="00843BA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183B37F4" w14:textId="1448515F" w:rsidR="002C2144" w:rsidRDefault="002C2144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C2144">
        <w:rPr>
          <w:rFonts w:ascii="Arial" w:hAnsi="Arial" w:cs="Arial"/>
          <w:sz w:val="22"/>
          <w:szCs w:val="22"/>
        </w:rPr>
        <w:t>Podle průzkumu CVVM</w:t>
      </w:r>
      <w:r w:rsidRPr="002A45E8">
        <w:rPr>
          <w:rStyle w:val="Znakapoznpodarou"/>
          <w:rFonts w:ascii="Arial" w:hAnsi="Arial" w:cs="Arial"/>
          <w:lang w:eastAsia="cs-CZ"/>
        </w:rPr>
        <w:t xml:space="preserve"> </w:t>
      </w:r>
      <w:r w:rsidRPr="002A45E8">
        <w:rPr>
          <w:rStyle w:val="Znakapoznpodarou"/>
          <w:rFonts w:ascii="Arial" w:hAnsi="Arial" w:cs="Arial"/>
          <w:lang w:eastAsia="cs-CZ"/>
        </w:rPr>
        <w:footnoteReference w:id="2"/>
      </w:r>
      <w:r w:rsidRPr="002A45E8">
        <w:rPr>
          <w:rFonts w:ascii="Arial" w:hAnsi="Arial" w:cs="Arial"/>
          <w:lang w:eastAsia="cs-CZ"/>
        </w:rPr>
        <w:t xml:space="preserve"> </w:t>
      </w:r>
      <w:r w:rsidRPr="002C2144">
        <w:rPr>
          <w:rFonts w:ascii="Arial" w:hAnsi="Arial" w:cs="Arial"/>
          <w:b/>
          <w:sz w:val="22"/>
          <w:szCs w:val="22"/>
        </w:rPr>
        <w:t>důvěřovala v létě EU více než polovina lidí v</w:t>
      </w:r>
      <w:r w:rsidR="002F4216">
        <w:rPr>
          <w:rFonts w:ascii="Arial" w:hAnsi="Arial" w:cs="Arial"/>
          <w:b/>
          <w:sz w:val="22"/>
          <w:szCs w:val="22"/>
        </w:rPr>
        <w:t> </w:t>
      </w:r>
      <w:r w:rsidRPr="002C2144">
        <w:rPr>
          <w:rFonts w:ascii="Arial" w:hAnsi="Arial" w:cs="Arial"/>
          <w:b/>
          <w:sz w:val="22"/>
          <w:szCs w:val="22"/>
        </w:rPr>
        <w:t>Česk</w:t>
      </w:r>
      <w:r w:rsidR="002F4216">
        <w:rPr>
          <w:rFonts w:ascii="Arial" w:hAnsi="Arial" w:cs="Arial"/>
          <w:b/>
          <w:sz w:val="22"/>
          <w:szCs w:val="22"/>
        </w:rPr>
        <w:t>u (52 %)</w:t>
      </w:r>
      <w:r w:rsidRPr="002C2144">
        <w:rPr>
          <w:rFonts w:ascii="Arial" w:hAnsi="Arial" w:cs="Arial"/>
          <w:sz w:val="22"/>
          <w:szCs w:val="22"/>
        </w:rPr>
        <w:t>, n</w:t>
      </w:r>
      <w:r w:rsidR="00D0318D">
        <w:rPr>
          <w:rFonts w:ascii="Arial" w:hAnsi="Arial" w:cs="Arial"/>
          <w:sz w:val="22"/>
          <w:szCs w:val="22"/>
        </w:rPr>
        <w:t>edůvěru vzbuzovala</w:t>
      </w:r>
      <w:r w:rsidRPr="002C2144">
        <w:rPr>
          <w:rFonts w:ascii="Arial" w:hAnsi="Arial" w:cs="Arial"/>
          <w:sz w:val="22"/>
          <w:szCs w:val="22"/>
        </w:rPr>
        <w:t xml:space="preserve"> </w:t>
      </w:r>
      <w:r w:rsidR="00F37F4F">
        <w:rPr>
          <w:rFonts w:ascii="Arial" w:hAnsi="Arial" w:cs="Arial"/>
          <w:sz w:val="22"/>
          <w:szCs w:val="22"/>
        </w:rPr>
        <w:t>Unie</w:t>
      </w:r>
      <w:r w:rsidR="00F37F4F" w:rsidRPr="002C2144">
        <w:rPr>
          <w:rFonts w:ascii="Arial" w:hAnsi="Arial" w:cs="Arial"/>
          <w:sz w:val="22"/>
          <w:szCs w:val="22"/>
        </w:rPr>
        <w:t xml:space="preserve"> </w:t>
      </w:r>
      <w:r w:rsidRPr="002C2144">
        <w:rPr>
          <w:rFonts w:ascii="Arial" w:hAnsi="Arial" w:cs="Arial"/>
          <w:sz w:val="22"/>
          <w:szCs w:val="22"/>
        </w:rPr>
        <w:t xml:space="preserve">u 41 % dotázaných občanů ČR. EU jako takové spíše důvěřuje 46 % participantů a rozhodně jí věří 6 %, oproti tomu rozhodně ji nevěří 14 % a spíše nedůvěřuje 27 %. Od roku 2020 se tedy </w:t>
      </w:r>
      <w:r w:rsidR="009D5186">
        <w:rPr>
          <w:rFonts w:ascii="Arial" w:hAnsi="Arial" w:cs="Arial"/>
          <w:sz w:val="22"/>
          <w:szCs w:val="22"/>
        </w:rPr>
        <w:t xml:space="preserve">podle průzkumu CVVM </w:t>
      </w:r>
      <w:r w:rsidRPr="002C2144">
        <w:rPr>
          <w:rFonts w:ascii="Arial" w:hAnsi="Arial" w:cs="Arial"/>
          <w:sz w:val="22"/>
          <w:szCs w:val="22"/>
        </w:rPr>
        <w:t>důvěra obč</w:t>
      </w:r>
      <w:r>
        <w:rPr>
          <w:rFonts w:ascii="Arial" w:hAnsi="Arial" w:cs="Arial"/>
          <w:sz w:val="22"/>
          <w:szCs w:val="22"/>
        </w:rPr>
        <w:t>anů v EU navýšila o dva procentní body</w:t>
      </w:r>
      <w:r w:rsidRPr="002C2144">
        <w:rPr>
          <w:rFonts w:ascii="Arial" w:hAnsi="Arial" w:cs="Arial"/>
          <w:sz w:val="22"/>
          <w:szCs w:val="22"/>
        </w:rPr>
        <w:t xml:space="preserve"> a překonala tak hranici poloviny respondentů.</w:t>
      </w:r>
      <w:r w:rsidR="00D0318D">
        <w:rPr>
          <w:rFonts w:ascii="Arial" w:hAnsi="Arial" w:cs="Arial"/>
          <w:sz w:val="22"/>
          <w:szCs w:val="22"/>
        </w:rPr>
        <w:t xml:space="preserve"> </w:t>
      </w:r>
      <w:r w:rsidRPr="00D0318D">
        <w:rPr>
          <w:rFonts w:ascii="Arial" w:hAnsi="Arial" w:cs="Arial"/>
          <w:b/>
          <w:sz w:val="22"/>
          <w:szCs w:val="22"/>
        </w:rPr>
        <w:t>Důvěra v instituce EU</w:t>
      </w:r>
      <w:r w:rsidRPr="002C2144">
        <w:rPr>
          <w:rFonts w:ascii="Arial" w:hAnsi="Arial" w:cs="Arial"/>
          <w:sz w:val="22"/>
          <w:szCs w:val="22"/>
        </w:rPr>
        <w:t xml:space="preserve"> se </w:t>
      </w:r>
      <w:r w:rsidR="00D0318D">
        <w:rPr>
          <w:rFonts w:ascii="Arial" w:hAnsi="Arial" w:cs="Arial"/>
          <w:sz w:val="22"/>
          <w:szCs w:val="22"/>
        </w:rPr>
        <w:t xml:space="preserve">nicméně stále </w:t>
      </w:r>
      <w:r w:rsidRPr="002C2144">
        <w:rPr>
          <w:rFonts w:ascii="Arial" w:hAnsi="Arial" w:cs="Arial"/>
          <w:sz w:val="22"/>
          <w:szCs w:val="22"/>
        </w:rPr>
        <w:t xml:space="preserve">pohybuje </w:t>
      </w:r>
      <w:r w:rsidR="00D0318D">
        <w:rPr>
          <w:rFonts w:ascii="Arial" w:hAnsi="Arial" w:cs="Arial"/>
          <w:sz w:val="22"/>
          <w:szCs w:val="22"/>
        </w:rPr>
        <w:t>na podobné úrovni jako v předcházejících letech</w:t>
      </w:r>
      <w:r w:rsidRPr="002C2144">
        <w:rPr>
          <w:rFonts w:ascii="Arial" w:hAnsi="Arial" w:cs="Arial"/>
          <w:sz w:val="22"/>
          <w:szCs w:val="22"/>
        </w:rPr>
        <w:t xml:space="preserve">. Komisi </w:t>
      </w:r>
      <w:r w:rsidR="00D0318D">
        <w:rPr>
          <w:rFonts w:ascii="Arial" w:hAnsi="Arial" w:cs="Arial"/>
          <w:sz w:val="22"/>
          <w:szCs w:val="22"/>
        </w:rPr>
        <w:t xml:space="preserve">důvěřuje </w:t>
      </w:r>
      <w:r w:rsidRPr="002C2144">
        <w:rPr>
          <w:rFonts w:ascii="Arial" w:hAnsi="Arial" w:cs="Arial"/>
          <w:sz w:val="22"/>
          <w:szCs w:val="22"/>
        </w:rPr>
        <w:t>38</w:t>
      </w:r>
      <w:r w:rsidR="00F37F4F">
        <w:rPr>
          <w:rFonts w:ascii="Arial" w:hAnsi="Arial" w:cs="Arial"/>
          <w:sz w:val="22"/>
          <w:szCs w:val="22"/>
        </w:rPr>
        <w:t> </w:t>
      </w:r>
      <w:r w:rsidRPr="002C2144">
        <w:rPr>
          <w:rFonts w:ascii="Arial" w:hAnsi="Arial" w:cs="Arial"/>
          <w:sz w:val="22"/>
          <w:szCs w:val="22"/>
        </w:rPr>
        <w:t>% respondentů a nedůvěru ji vyjádřilo 40 %</w:t>
      </w:r>
      <w:r w:rsidR="00D0318D">
        <w:rPr>
          <w:rFonts w:ascii="Arial" w:hAnsi="Arial" w:cs="Arial"/>
          <w:sz w:val="22"/>
          <w:szCs w:val="22"/>
        </w:rPr>
        <w:t xml:space="preserve"> respondentů, Evropskému parlamentu </w:t>
      </w:r>
      <w:r w:rsidRPr="002C2144">
        <w:rPr>
          <w:rFonts w:ascii="Arial" w:hAnsi="Arial" w:cs="Arial"/>
          <w:sz w:val="22"/>
          <w:szCs w:val="22"/>
        </w:rPr>
        <w:t>vyjádřilo důvěru</w:t>
      </w:r>
      <w:r w:rsidR="00D0318D">
        <w:rPr>
          <w:rFonts w:ascii="Arial" w:hAnsi="Arial" w:cs="Arial"/>
          <w:sz w:val="22"/>
          <w:szCs w:val="22"/>
        </w:rPr>
        <w:t xml:space="preserve"> 37 % dotázaných</w:t>
      </w:r>
      <w:r w:rsidRPr="002C2144">
        <w:rPr>
          <w:rFonts w:ascii="Arial" w:hAnsi="Arial" w:cs="Arial"/>
          <w:sz w:val="22"/>
          <w:szCs w:val="22"/>
        </w:rPr>
        <w:t xml:space="preserve"> a 43 % vyslovilo nedůvěru. </w:t>
      </w:r>
    </w:p>
    <w:p w14:paraId="03697486" w14:textId="55AD15B4" w:rsidR="002C2144" w:rsidRPr="002C2144" w:rsidRDefault="002C2144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B03461" w14:textId="4AFB29B5" w:rsidR="00273FC3" w:rsidRDefault="002C2144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C2144">
        <w:rPr>
          <w:rFonts w:ascii="Arial" w:hAnsi="Arial" w:cs="Arial"/>
          <w:sz w:val="22"/>
          <w:szCs w:val="22"/>
        </w:rPr>
        <w:lastRenderedPageBreak/>
        <w:t>Podle agentury STEM</w:t>
      </w:r>
      <w:r w:rsidR="005129BC">
        <w:rPr>
          <w:rStyle w:val="Znakapoznpodarou"/>
          <w:rFonts w:ascii="Arial" w:hAnsi="Arial"/>
          <w:sz w:val="22"/>
          <w:szCs w:val="22"/>
        </w:rPr>
        <w:footnoteReference w:id="3"/>
      </w:r>
      <w:r w:rsidRPr="002C2144">
        <w:rPr>
          <w:rFonts w:ascii="Arial" w:hAnsi="Arial" w:cs="Arial"/>
          <w:sz w:val="22"/>
          <w:szCs w:val="22"/>
        </w:rPr>
        <w:t xml:space="preserve"> </w:t>
      </w:r>
      <w:r w:rsidR="00CA2A62">
        <w:rPr>
          <w:rFonts w:ascii="Arial" w:hAnsi="Arial" w:cs="Arial"/>
          <w:sz w:val="22"/>
          <w:szCs w:val="22"/>
        </w:rPr>
        <w:t xml:space="preserve">je s </w:t>
      </w:r>
      <w:r w:rsidR="00CA2A62" w:rsidRPr="00CA2A62">
        <w:rPr>
          <w:rFonts w:ascii="Arial" w:hAnsi="Arial" w:cs="Arial"/>
          <w:sz w:val="22"/>
          <w:szCs w:val="22"/>
        </w:rPr>
        <w:t xml:space="preserve">členstvím České republiky v Evropské unii je  </w:t>
      </w:r>
      <w:r w:rsidR="00CA2A62" w:rsidRPr="00CA2A62">
        <w:rPr>
          <w:rFonts w:ascii="Arial" w:hAnsi="Arial" w:cs="Arial"/>
          <w:b/>
          <w:sz w:val="22"/>
          <w:szCs w:val="22"/>
        </w:rPr>
        <w:t>spokojeno 48 % občanů</w:t>
      </w:r>
      <w:r w:rsidR="00CA2A62" w:rsidRPr="00CA2A62">
        <w:rPr>
          <w:rFonts w:ascii="Arial" w:hAnsi="Arial" w:cs="Arial"/>
          <w:sz w:val="22"/>
          <w:szCs w:val="22"/>
        </w:rPr>
        <w:t xml:space="preserve">, což představuje </w:t>
      </w:r>
      <w:r w:rsidR="00CA2A62">
        <w:rPr>
          <w:rFonts w:ascii="Arial" w:hAnsi="Arial" w:cs="Arial"/>
          <w:sz w:val="22"/>
          <w:szCs w:val="22"/>
        </w:rPr>
        <w:t>obdobnou hodnotu jako v květnu</w:t>
      </w:r>
      <w:r w:rsidR="00CA2A62" w:rsidRPr="00CA2A62">
        <w:rPr>
          <w:rFonts w:ascii="Arial" w:hAnsi="Arial" w:cs="Arial"/>
          <w:sz w:val="22"/>
          <w:szCs w:val="22"/>
        </w:rPr>
        <w:t xml:space="preserve"> 2020</w:t>
      </w:r>
      <w:r w:rsidR="004F5B0C">
        <w:rPr>
          <w:rFonts w:ascii="Arial" w:hAnsi="Arial" w:cs="Arial"/>
          <w:sz w:val="22"/>
          <w:szCs w:val="22"/>
        </w:rPr>
        <w:t>.</w:t>
      </w:r>
      <w:r w:rsidR="00CA2A62" w:rsidRPr="00CA2A62">
        <w:rPr>
          <w:rFonts w:ascii="Arial" w:hAnsi="Arial" w:cs="Arial"/>
          <w:sz w:val="22"/>
          <w:szCs w:val="22"/>
        </w:rPr>
        <w:t xml:space="preserve"> </w:t>
      </w:r>
      <w:r w:rsidR="004F5B0C" w:rsidRPr="00CA2A62">
        <w:rPr>
          <w:rFonts w:ascii="Arial" w:hAnsi="Arial" w:cs="Arial"/>
          <w:sz w:val="22"/>
          <w:szCs w:val="22"/>
        </w:rPr>
        <w:t>Nejvíce jsou zastoupeni ti, kteří členství váhavě podporují (36 %).</w:t>
      </w:r>
      <w:r w:rsidR="004F5B0C">
        <w:rPr>
          <w:rFonts w:ascii="Arial" w:hAnsi="Arial" w:cs="Arial"/>
          <w:sz w:val="22"/>
          <w:szCs w:val="22"/>
        </w:rPr>
        <w:t xml:space="preserve"> </w:t>
      </w:r>
      <w:r w:rsidR="00CA2A62" w:rsidRPr="00CA2A62">
        <w:rPr>
          <w:rFonts w:ascii="Arial" w:hAnsi="Arial" w:cs="Arial"/>
          <w:sz w:val="22"/>
          <w:szCs w:val="22"/>
        </w:rPr>
        <w:t>Zcela negativně pak členství hodnotí 19 % obyvatel. Dlouhodobé průzkumy STEM ukazují, že i mezi kritiky převládají zejména ti, kteří by si přáli reformu fungování EU spíše než její zánik nebo opuštění ze strany České republiky.</w:t>
      </w:r>
      <w:r w:rsidR="004F5B0C">
        <w:rPr>
          <w:rFonts w:ascii="Arial" w:hAnsi="Arial" w:cs="Arial"/>
          <w:sz w:val="22"/>
          <w:szCs w:val="22"/>
        </w:rPr>
        <w:t xml:space="preserve"> Zároveň</w:t>
      </w:r>
      <w:r w:rsidR="009D1644">
        <w:rPr>
          <w:rFonts w:ascii="Arial" w:hAnsi="Arial" w:cs="Arial"/>
          <w:sz w:val="22"/>
          <w:szCs w:val="22"/>
        </w:rPr>
        <w:t xml:space="preserve"> podle průzkumu STEM</w:t>
      </w:r>
      <w:r w:rsidR="004F5B0C">
        <w:rPr>
          <w:rFonts w:ascii="Arial" w:hAnsi="Arial" w:cs="Arial"/>
          <w:sz w:val="22"/>
          <w:szCs w:val="22"/>
        </w:rPr>
        <w:t xml:space="preserve"> </w:t>
      </w:r>
      <w:r w:rsidR="004F5B0C" w:rsidRPr="00FB1074">
        <w:rPr>
          <w:rFonts w:ascii="Arial" w:hAnsi="Arial" w:cs="Arial"/>
          <w:b/>
          <w:sz w:val="22"/>
          <w:szCs w:val="22"/>
        </w:rPr>
        <w:t>7 z 10 českých obyvatel cítí sounáležitost s Evropou</w:t>
      </w:r>
      <w:r w:rsidR="004F5B0C" w:rsidRPr="00CA2A62">
        <w:rPr>
          <w:rFonts w:ascii="Arial" w:hAnsi="Arial" w:cs="Arial"/>
          <w:sz w:val="22"/>
          <w:szCs w:val="22"/>
        </w:rPr>
        <w:t>.</w:t>
      </w:r>
      <w:r w:rsidR="004F5B0C">
        <w:rPr>
          <w:rFonts w:ascii="Arial" w:hAnsi="Arial" w:cs="Arial"/>
          <w:sz w:val="22"/>
          <w:szCs w:val="22"/>
        </w:rPr>
        <w:t xml:space="preserve"> </w:t>
      </w:r>
    </w:p>
    <w:p w14:paraId="207BEFFB" w14:textId="70F0C696" w:rsidR="00273FC3" w:rsidRDefault="00273FC3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FF5CDB" w14:textId="6A881CC4" w:rsidR="00273FC3" w:rsidRDefault="00273FC3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02C47A1A" wp14:editId="603118A9">
            <wp:extent cx="5760720" cy="259905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55FC" w14:textId="77A74F6D" w:rsidR="00E27C4B" w:rsidRDefault="00E27C4B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89EF4A4" w14:textId="35667065" w:rsidR="00E27C4B" w:rsidRPr="00E27C4B" w:rsidRDefault="00E27C4B" w:rsidP="00E27C4B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27C4B">
        <w:rPr>
          <w:rFonts w:ascii="Arial" w:hAnsi="Arial" w:cs="Arial"/>
          <w:sz w:val="22"/>
          <w:szCs w:val="22"/>
        </w:rPr>
        <w:t xml:space="preserve">Dlouhodobý vývoj postoje české veřejnosti k členství v EU je </w:t>
      </w:r>
      <w:r>
        <w:rPr>
          <w:rFonts w:ascii="Arial" w:hAnsi="Arial" w:cs="Arial"/>
          <w:sz w:val="22"/>
          <w:szCs w:val="22"/>
        </w:rPr>
        <w:t xml:space="preserve">podle průzkumů STEM </w:t>
      </w:r>
      <w:r w:rsidRPr="00E27C4B">
        <w:rPr>
          <w:rFonts w:ascii="Arial" w:hAnsi="Arial" w:cs="Arial"/>
          <w:sz w:val="22"/>
          <w:szCs w:val="22"/>
        </w:rPr>
        <w:t>charakterizován velmi pozvolným poklesem podpory od okamžiku vstupu</w:t>
      </w:r>
      <w:r>
        <w:rPr>
          <w:rFonts w:ascii="Arial" w:hAnsi="Arial" w:cs="Arial"/>
          <w:sz w:val="22"/>
          <w:szCs w:val="22"/>
        </w:rPr>
        <w:t xml:space="preserve"> (65 % respondentů bylo se členstvím spokojeno) po pokles v době migrační krize v roce 2015 (35 % respondentů spokojených se členstvím v EU)</w:t>
      </w:r>
      <w:r w:rsidRPr="00E27C4B">
        <w:rPr>
          <w:rFonts w:ascii="Arial" w:hAnsi="Arial" w:cs="Arial"/>
          <w:sz w:val="22"/>
          <w:szCs w:val="22"/>
        </w:rPr>
        <w:t>, který byl přerušen českým předsednictvím v roce 2009</w:t>
      </w:r>
      <w:r>
        <w:rPr>
          <w:rFonts w:ascii="Arial" w:hAnsi="Arial" w:cs="Arial"/>
          <w:sz w:val="22"/>
          <w:szCs w:val="22"/>
        </w:rPr>
        <w:t xml:space="preserve"> (69</w:t>
      </w:r>
      <w:r w:rsidR="00F37F4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% respondentů bylo se členstvím spokojeno)</w:t>
      </w:r>
      <w:r w:rsidRPr="00E27C4B">
        <w:rPr>
          <w:rFonts w:ascii="Arial" w:hAnsi="Arial" w:cs="Arial"/>
          <w:sz w:val="22"/>
          <w:szCs w:val="22"/>
        </w:rPr>
        <w:t>. V tomto kontextu představuje nadcházející české předsednictví významnou příležitost</w:t>
      </w:r>
      <w:r w:rsidR="009D5186">
        <w:rPr>
          <w:rFonts w:ascii="Arial" w:hAnsi="Arial" w:cs="Arial"/>
          <w:sz w:val="22"/>
          <w:szCs w:val="22"/>
        </w:rPr>
        <w:t xml:space="preserve"> pro komunikaci témat souvisejících s EU</w:t>
      </w:r>
      <w:r w:rsidRPr="00E27C4B">
        <w:rPr>
          <w:rFonts w:ascii="Arial" w:hAnsi="Arial" w:cs="Arial"/>
          <w:sz w:val="22"/>
          <w:szCs w:val="22"/>
        </w:rPr>
        <w:t>.</w:t>
      </w:r>
    </w:p>
    <w:p w14:paraId="56F06182" w14:textId="10CBAEA8" w:rsidR="00CA2A62" w:rsidRDefault="00CA2A62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F81E5F" w14:textId="77777777" w:rsidR="00273FC3" w:rsidRDefault="00273FC3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6565100" w14:textId="35F2A616" w:rsidR="002C2144" w:rsidRDefault="002C2144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C2144">
        <w:rPr>
          <w:rFonts w:ascii="Arial" w:hAnsi="Arial" w:cs="Arial"/>
          <w:sz w:val="22"/>
          <w:szCs w:val="22"/>
        </w:rPr>
        <w:t xml:space="preserve">Pro Čechy i nadále podle průzkumů zůstávají </w:t>
      </w:r>
      <w:r w:rsidR="00F37F4F">
        <w:rPr>
          <w:rFonts w:ascii="Arial" w:hAnsi="Arial" w:cs="Arial"/>
          <w:sz w:val="22"/>
          <w:szCs w:val="22"/>
        </w:rPr>
        <w:t xml:space="preserve">typově stejná </w:t>
      </w:r>
      <w:r w:rsidRPr="002C2144">
        <w:rPr>
          <w:rFonts w:ascii="Arial" w:hAnsi="Arial" w:cs="Arial"/>
          <w:sz w:val="22"/>
          <w:szCs w:val="22"/>
        </w:rPr>
        <w:t xml:space="preserve">důležitá témata v rámci EU jako </w:t>
      </w:r>
      <w:r w:rsidR="00637665">
        <w:rPr>
          <w:rFonts w:ascii="Arial" w:hAnsi="Arial" w:cs="Arial"/>
          <w:sz w:val="22"/>
          <w:szCs w:val="22"/>
        </w:rPr>
        <w:t>v</w:t>
      </w:r>
      <w:r w:rsidR="002F4216">
        <w:rPr>
          <w:rFonts w:ascii="Arial" w:hAnsi="Arial" w:cs="Arial"/>
          <w:sz w:val="22"/>
          <w:szCs w:val="22"/>
        </w:rPr>
        <w:t> předcházejících letech. Podle výzkumu a</w:t>
      </w:r>
      <w:r w:rsidRPr="002C2144">
        <w:rPr>
          <w:rFonts w:ascii="Arial" w:hAnsi="Arial" w:cs="Arial"/>
          <w:sz w:val="22"/>
          <w:szCs w:val="22"/>
        </w:rPr>
        <w:t>gentur</w:t>
      </w:r>
      <w:r w:rsidR="002F4216">
        <w:rPr>
          <w:rFonts w:ascii="Arial" w:hAnsi="Arial" w:cs="Arial"/>
          <w:sz w:val="22"/>
          <w:szCs w:val="22"/>
        </w:rPr>
        <w:t>y</w:t>
      </w:r>
      <w:r w:rsidRPr="002C2144">
        <w:rPr>
          <w:rFonts w:ascii="Arial" w:hAnsi="Arial" w:cs="Arial"/>
          <w:sz w:val="22"/>
          <w:szCs w:val="22"/>
        </w:rPr>
        <w:t xml:space="preserve"> STEM </w:t>
      </w:r>
      <w:r w:rsidR="002F4216">
        <w:rPr>
          <w:rFonts w:ascii="Arial" w:hAnsi="Arial" w:cs="Arial"/>
          <w:sz w:val="22"/>
          <w:szCs w:val="22"/>
        </w:rPr>
        <w:t>patří mezi</w:t>
      </w:r>
      <w:r w:rsidRPr="002C2144">
        <w:rPr>
          <w:rFonts w:ascii="Arial" w:hAnsi="Arial" w:cs="Arial"/>
          <w:sz w:val="22"/>
          <w:szCs w:val="22"/>
        </w:rPr>
        <w:t xml:space="preserve"> hlavní zájmy veřejnosti</w:t>
      </w:r>
      <w:r w:rsidR="002F4216">
        <w:rPr>
          <w:rFonts w:ascii="Arial" w:hAnsi="Arial" w:cs="Arial"/>
          <w:sz w:val="22"/>
          <w:szCs w:val="22"/>
        </w:rPr>
        <w:t xml:space="preserve"> v</w:t>
      </w:r>
      <w:r w:rsidR="00F37F4F">
        <w:rPr>
          <w:rFonts w:ascii="Arial" w:hAnsi="Arial" w:cs="Arial"/>
          <w:sz w:val="22"/>
          <w:szCs w:val="22"/>
        </w:rPr>
        <w:t> </w:t>
      </w:r>
      <w:r w:rsidR="002F4216">
        <w:rPr>
          <w:rFonts w:ascii="Arial" w:hAnsi="Arial" w:cs="Arial"/>
          <w:sz w:val="22"/>
          <w:szCs w:val="22"/>
        </w:rPr>
        <w:t>EU</w:t>
      </w:r>
      <w:r w:rsidRPr="002C2144">
        <w:rPr>
          <w:rFonts w:ascii="Arial" w:hAnsi="Arial" w:cs="Arial"/>
          <w:sz w:val="22"/>
          <w:szCs w:val="22"/>
        </w:rPr>
        <w:t xml:space="preserve"> ochrana životního prostředí, bezpečnost v Evropě, ochrana spotřebitele, předcházení změnám klimatu a rozvoj ekonomiky. </w:t>
      </w:r>
    </w:p>
    <w:p w14:paraId="47CEA0DB" w14:textId="051B9537" w:rsidR="00FD72A9" w:rsidRDefault="00FD72A9" w:rsidP="002C2144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570BFD9" w14:textId="253DFC04" w:rsidR="00702A41" w:rsidRPr="002A45E8" w:rsidRDefault="00702A41" w:rsidP="00702A4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Mezi témata, která</w:t>
      </w:r>
      <w:r w:rsidRPr="002A45E8">
        <w:rPr>
          <w:rFonts w:ascii="Arial" w:hAnsi="Arial" w:cs="Arial"/>
        </w:rPr>
        <w:t xml:space="preserve"> Češi </w:t>
      </w:r>
      <w:r>
        <w:rPr>
          <w:rFonts w:ascii="Arial" w:hAnsi="Arial" w:cs="Arial"/>
        </w:rPr>
        <w:t xml:space="preserve">v průzkumu </w:t>
      </w:r>
      <w:proofErr w:type="spellStart"/>
      <w:r>
        <w:rPr>
          <w:rFonts w:ascii="Arial" w:hAnsi="Arial" w:cs="Arial"/>
        </w:rPr>
        <w:t>Eurobarometr</w:t>
      </w:r>
      <w:proofErr w:type="spellEnd"/>
      <w:r>
        <w:rPr>
          <w:rFonts w:ascii="Arial" w:hAnsi="Arial" w:cs="Arial"/>
        </w:rPr>
        <w:t xml:space="preserve"> označili jako nejdůležitější, jimž EU čelí,</w:t>
      </w:r>
      <w:r w:rsidRPr="002A45E8">
        <w:rPr>
          <w:rFonts w:ascii="Arial" w:hAnsi="Arial" w:cs="Arial"/>
        </w:rPr>
        <w:t xml:space="preserve"> patřila </w:t>
      </w:r>
      <w:r w:rsidRPr="002A45E8">
        <w:rPr>
          <w:rFonts w:ascii="Arial" w:hAnsi="Arial" w:cs="Arial"/>
          <w:b/>
        </w:rPr>
        <w:t>migrace</w:t>
      </w:r>
      <w:r w:rsidRPr="002A45E8">
        <w:rPr>
          <w:rFonts w:ascii="Arial" w:hAnsi="Arial" w:cs="Arial"/>
        </w:rPr>
        <w:t xml:space="preserve"> na prvním místě</w:t>
      </w:r>
      <w:r>
        <w:rPr>
          <w:rFonts w:ascii="Arial" w:hAnsi="Arial" w:cs="Arial"/>
        </w:rPr>
        <w:t xml:space="preserve"> (42 %) </w:t>
      </w:r>
      <w:r w:rsidRPr="002A45E8">
        <w:rPr>
          <w:rFonts w:ascii="Arial" w:hAnsi="Arial" w:cs="Arial"/>
        </w:rPr>
        <w:t xml:space="preserve"> následovaná </w:t>
      </w:r>
      <w:r w:rsidRPr="002A45E8">
        <w:rPr>
          <w:rFonts w:ascii="Arial" w:hAnsi="Arial" w:cs="Arial"/>
          <w:b/>
        </w:rPr>
        <w:t>veřejnými financemi</w:t>
      </w:r>
      <w:r w:rsidRPr="002A45E8">
        <w:rPr>
          <w:rFonts w:ascii="Arial" w:hAnsi="Arial" w:cs="Arial"/>
        </w:rPr>
        <w:t xml:space="preserve"> </w:t>
      </w:r>
      <w:r w:rsidRPr="002A45E8">
        <w:rPr>
          <w:rFonts w:ascii="Arial" w:hAnsi="Arial" w:cs="Arial"/>
          <w:b/>
        </w:rPr>
        <w:t>členských států</w:t>
      </w:r>
      <w:r>
        <w:rPr>
          <w:rFonts w:ascii="Arial" w:hAnsi="Arial" w:cs="Arial"/>
          <w:b/>
        </w:rPr>
        <w:t xml:space="preserve"> (28 %)</w:t>
      </w:r>
      <w:r>
        <w:rPr>
          <w:rFonts w:ascii="Arial" w:hAnsi="Arial" w:cs="Arial"/>
        </w:rPr>
        <w:t xml:space="preserve"> a </w:t>
      </w:r>
      <w:r w:rsidRPr="002A45E8">
        <w:rPr>
          <w:rFonts w:ascii="Arial" w:hAnsi="Arial" w:cs="Arial"/>
          <w:b/>
        </w:rPr>
        <w:t>ekonomickými záležitostmi</w:t>
      </w:r>
      <w:r>
        <w:rPr>
          <w:rFonts w:ascii="Arial" w:hAnsi="Arial" w:cs="Arial"/>
          <w:b/>
        </w:rPr>
        <w:t xml:space="preserve"> </w:t>
      </w:r>
      <w:r w:rsidRPr="00702A41">
        <w:rPr>
          <w:rFonts w:ascii="Arial" w:hAnsi="Arial" w:cs="Arial"/>
        </w:rPr>
        <w:t>(23 %).</w:t>
      </w:r>
      <w:r w:rsidRPr="002A45E8">
        <w:rPr>
          <w:rFonts w:ascii="Arial" w:hAnsi="Arial" w:cs="Arial"/>
        </w:rPr>
        <w:t xml:space="preserve"> Ekonomická situace </w:t>
      </w:r>
      <w:r>
        <w:rPr>
          <w:rFonts w:ascii="Arial" w:hAnsi="Arial" w:cs="Arial"/>
        </w:rPr>
        <w:t>stála na prvním místě</w:t>
      </w:r>
      <w:r w:rsidRPr="002A45E8">
        <w:rPr>
          <w:rFonts w:ascii="Arial" w:hAnsi="Arial" w:cs="Arial"/>
        </w:rPr>
        <w:t xml:space="preserve"> v důležitosti témat, jak je vnímají občané zemí EU</w:t>
      </w:r>
      <w:r>
        <w:rPr>
          <w:rFonts w:ascii="Arial" w:hAnsi="Arial" w:cs="Arial"/>
        </w:rPr>
        <w:t xml:space="preserve"> (27 %)</w:t>
      </w:r>
      <w:r w:rsidRPr="002A45E8">
        <w:rPr>
          <w:rFonts w:ascii="Arial" w:hAnsi="Arial" w:cs="Arial"/>
        </w:rPr>
        <w:t xml:space="preserve">. Na druhém místě se pak mezi státy </w:t>
      </w:r>
      <w:r>
        <w:rPr>
          <w:rFonts w:ascii="Arial" w:hAnsi="Arial" w:cs="Arial"/>
        </w:rPr>
        <w:t xml:space="preserve">EU </w:t>
      </w:r>
      <w:r w:rsidRPr="002A45E8">
        <w:rPr>
          <w:rFonts w:ascii="Arial" w:hAnsi="Arial" w:cs="Arial"/>
        </w:rPr>
        <w:t xml:space="preserve">umístilo </w:t>
      </w:r>
      <w:r>
        <w:rPr>
          <w:rFonts w:ascii="Arial" w:hAnsi="Arial" w:cs="Arial"/>
        </w:rPr>
        <w:t>životní pros</w:t>
      </w:r>
      <w:r w:rsidR="009D1644">
        <w:rPr>
          <w:rFonts w:ascii="Arial" w:hAnsi="Arial" w:cs="Arial"/>
        </w:rPr>
        <w:t>t</w:t>
      </w:r>
      <w:r>
        <w:rPr>
          <w:rFonts w:ascii="Arial" w:hAnsi="Arial" w:cs="Arial"/>
        </w:rPr>
        <w:t>ředí a klimatická změna (25 %)</w:t>
      </w:r>
      <w:r w:rsidRPr="002A45E8">
        <w:rPr>
          <w:rFonts w:ascii="Arial" w:hAnsi="Arial" w:cs="Arial"/>
        </w:rPr>
        <w:t xml:space="preserve"> a na třetím místě </w:t>
      </w:r>
      <w:r w:rsidR="009D5186">
        <w:rPr>
          <w:rFonts w:ascii="Arial" w:hAnsi="Arial" w:cs="Arial"/>
        </w:rPr>
        <w:t>imigrace (25 %).</w:t>
      </w:r>
    </w:p>
    <w:p w14:paraId="1F19993D" w14:textId="39DBFB66" w:rsidR="001D1211" w:rsidRDefault="001D1211" w:rsidP="001D121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14:paraId="6609F467" w14:textId="77777777" w:rsidR="00E27C4B" w:rsidRDefault="00E27C4B" w:rsidP="001D121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</w:rPr>
      </w:pPr>
    </w:p>
    <w:p w14:paraId="1D35AA4D" w14:textId="77777777" w:rsidR="00E27C4B" w:rsidRDefault="00E27C4B" w:rsidP="001D121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</w:rPr>
      </w:pPr>
    </w:p>
    <w:p w14:paraId="7776FCC6" w14:textId="18A737D6" w:rsidR="00AE3D31" w:rsidRPr="005D491C" w:rsidRDefault="00AE3D31" w:rsidP="00BE08D6">
      <w:pPr>
        <w:pStyle w:val="Nadpis1"/>
        <w:spacing w:before="720" w:line="288" w:lineRule="auto"/>
        <w:rPr>
          <w:rFonts w:ascii="Arial" w:hAnsi="Arial" w:cs="Arial"/>
          <w:color w:val="auto"/>
          <w:sz w:val="22"/>
          <w:szCs w:val="22"/>
        </w:rPr>
      </w:pPr>
      <w:bookmarkStart w:id="12" w:name="_Toc63433895"/>
      <w:r w:rsidRPr="005D491C">
        <w:lastRenderedPageBreak/>
        <w:t>3. Jak byly komunikovány priority v roce 20</w:t>
      </w:r>
      <w:r w:rsidR="00462F8C" w:rsidRPr="005D491C">
        <w:t>2</w:t>
      </w:r>
      <w:r w:rsidR="006B6C60">
        <w:t>1</w:t>
      </w:r>
      <w:r w:rsidRPr="005D491C">
        <w:t>?</w:t>
      </w:r>
      <w:bookmarkEnd w:id="12"/>
    </w:p>
    <w:p w14:paraId="2ACC1CEF" w14:textId="2032C8B2" w:rsidR="002D7BF5" w:rsidRPr="005D491C" w:rsidRDefault="005C2622" w:rsidP="002D7BF5">
      <w:pPr>
        <w:spacing w:after="0" w:line="288" w:lineRule="auto"/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>Realizací Strategie je</w:t>
      </w:r>
      <w:r w:rsidR="00F37F4F">
        <w:rPr>
          <w:rFonts w:ascii="Arial" w:hAnsi="Arial" w:cs="Arial"/>
        </w:rPr>
        <w:t xml:space="preserve"> primárně</w:t>
      </w:r>
      <w:r w:rsidRPr="005D491C">
        <w:rPr>
          <w:rFonts w:ascii="Arial" w:hAnsi="Arial" w:cs="Arial"/>
        </w:rPr>
        <w:t xml:space="preserve"> pověřen Odbor komunikace o evropských záležitostech Úřadu vlády. Odbor zprostředkovává informace o EU veřejnosti prostřednictvím tzv. </w:t>
      </w:r>
      <w:r w:rsidRPr="005D491C">
        <w:rPr>
          <w:rFonts w:ascii="Arial" w:hAnsi="Arial" w:cs="Arial"/>
          <w:b/>
        </w:rPr>
        <w:t>Integrovaného informačního systému (IIS)</w:t>
      </w:r>
      <w:r w:rsidRPr="005D491C">
        <w:rPr>
          <w:rFonts w:ascii="Arial" w:hAnsi="Arial" w:cs="Arial"/>
        </w:rPr>
        <w:t xml:space="preserve">, který </w:t>
      </w:r>
      <w:proofErr w:type="gramStart"/>
      <w:r w:rsidRPr="005D491C">
        <w:rPr>
          <w:rFonts w:ascii="Arial" w:hAnsi="Arial" w:cs="Arial"/>
        </w:rPr>
        <w:t>byl</w:t>
      </w:r>
      <w:proofErr w:type="gramEnd"/>
      <w:r w:rsidRPr="005D491C">
        <w:rPr>
          <w:rFonts w:ascii="Arial" w:hAnsi="Arial" w:cs="Arial"/>
        </w:rPr>
        <w:t xml:space="preserve"> zřízen usnesením vlády č. 915 ze dne 13. července 2005. IIS </w:t>
      </w:r>
      <w:proofErr w:type="gramStart"/>
      <w:r w:rsidRPr="005D491C">
        <w:rPr>
          <w:rFonts w:ascii="Arial" w:hAnsi="Arial" w:cs="Arial"/>
        </w:rPr>
        <w:t>tvoří</w:t>
      </w:r>
      <w:proofErr w:type="gramEnd"/>
      <w:r w:rsidRPr="005D491C">
        <w:rPr>
          <w:rFonts w:ascii="Arial" w:hAnsi="Arial" w:cs="Arial"/>
        </w:rPr>
        <w:t xml:space="preserve"> síť regionálních </w:t>
      </w:r>
      <w:proofErr w:type="spellStart"/>
      <w:r w:rsidRPr="005D491C">
        <w:rPr>
          <w:rFonts w:ascii="Arial" w:hAnsi="Arial" w:cs="Arial"/>
        </w:rPr>
        <w:t>Eurocenter</w:t>
      </w:r>
      <w:proofErr w:type="spellEnd"/>
      <w:r w:rsidRPr="005D491C">
        <w:rPr>
          <w:rFonts w:ascii="Arial" w:hAnsi="Arial" w:cs="Arial"/>
        </w:rPr>
        <w:t xml:space="preserve">, informační portál o EU Euroskop.cz a bezplatná telefonní linka </w:t>
      </w:r>
      <w:proofErr w:type="spellStart"/>
      <w:r w:rsidRPr="005D491C">
        <w:rPr>
          <w:rFonts w:ascii="Arial" w:hAnsi="Arial" w:cs="Arial"/>
        </w:rPr>
        <w:t>Eurofon</w:t>
      </w:r>
      <w:proofErr w:type="spellEnd"/>
      <w:r w:rsidRPr="005D491C">
        <w:rPr>
          <w:rFonts w:ascii="Arial" w:hAnsi="Arial" w:cs="Arial"/>
        </w:rPr>
        <w:t xml:space="preserve">. </w:t>
      </w:r>
      <w:r w:rsidR="004868FF" w:rsidRPr="005D491C">
        <w:rPr>
          <w:rFonts w:ascii="Arial" w:hAnsi="Arial" w:cs="Arial"/>
        </w:rPr>
        <w:t xml:space="preserve">Systém je provozován Úřadem vlády, přičemž na činnosti </w:t>
      </w:r>
      <w:proofErr w:type="spellStart"/>
      <w:r w:rsidR="004868FF" w:rsidRPr="005D491C">
        <w:rPr>
          <w:rFonts w:ascii="Arial" w:hAnsi="Arial" w:cs="Arial"/>
        </w:rPr>
        <w:t>Eurocenter</w:t>
      </w:r>
      <w:proofErr w:type="spellEnd"/>
      <w:r w:rsidR="004868FF" w:rsidRPr="005D491C">
        <w:rPr>
          <w:rFonts w:ascii="Arial" w:hAnsi="Arial" w:cs="Arial"/>
        </w:rPr>
        <w:t xml:space="preserve"> a linky </w:t>
      </w:r>
      <w:proofErr w:type="spellStart"/>
      <w:r w:rsidR="004868FF" w:rsidRPr="005D491C">
        <w:rPr>
          <w:rFonts w:ascii="Arial" w:hAnsi="Arial" w:cs="Arial"/>
        </w:rPr>
        <w:t>Eurofon</w:t>
      </w:r>
      <w:proofErr w:type="spellEnd"/>
      <w:r w:rsidR="004868FF" w:rsidRPr="005D491C">
        <w:rPr>
          <w:rFonts w:ascii="Arial" w:hAnsi="Arial" w:cs="Arial"/>
        </w:rPr>
        <w:t xml:space="preserve"> se rovněž podílí i Ministerstvo pro místní rozvoj.</w:t>
      </w:r>
    </w:p>
    <w:p w14:paraId="737ED0F7" w14:textId="77777777" w:rsidR="002D7BF5" w:rsidRPr="005D491C" w:rsidRDefault="002D7BF5" w:rsidP="002D7BF5">
      <w:pPr>
        <w:spacing w:after="0" w:line="288" w:lineRule="auto"/>
        <w:jc w:val="both"/>
        <w:rPr>
          <w:rFonts w:ascii="Arial" w:hAnsi="Arial" w:cs="Arial"/>
        </w:rPr>
      </w:pPr>
    </w:p>
    <w:p w14:paraId="1F5231F4" w14:textId="7329E8D1" w:rsidR="005D491C" w:rsidRPr="00FB1074" w:rsidRDefault="005D491C" w:rsidP="005D491C">
      <w:pPr>
        <w:jc w:val="both"/>
        <w:rPr>
          <w:rFonts w:ascii="Arial" w:hAnsi="Arial" w:cs="Arial"/>
        </w:rPr>
      </w:pPr>
      <w:proofErr w:type="spellStart"/>
      <w:r w:rsidRPr="005D491C">
        <w:rPr>
          <w:rFonts w:ascii="Arial" w:hAnsi="Arial" w:cs="Arial"/>
        </w:rPr>
        <w:t>Eurocentra</w:t>
      </w:r>
      <w:proofErr w:type="spellEnd"/>
      <w:r w:rsidRPr="005D491C">
        <w:rPr>
          <w:rFonts w:ascii="Arial" w:hAnsi="Arial" w:cs="Arial"/>
        </w:rPr>
        <w:t xml:space="preserve"> v rámci své obecné agendy v roce 2021 uspořádala </w:t>
      </w:r>
      <w:r w:rsidRPr="005D491C">
        <w:rPr>
          <w:rFonts w:ascii="Arial" w:hAnsi="Arial" w:cs="Arial"/>
          <w:b/>
        </w:rPr>
        <w:t>761 akcí</w:t>
      </w:r>
      <w:r w:rsidRPr="005D491C">
        <w:rPr>
          <w:rFonts w:ascii="Arial" w:hAnsi="Arial" w:cs="Arial"/>
        </w:rPr>
        <w:t xml:space="preserve">, kterých se zúčastnilo </w:t>
      </w:r>
      <w:r w:rsidRPr="005D491C">
        <w:rPr>
          <w:rFonts w:ascii="Arial" w:hAnsi="Arial" w:cs="Arial"/>
          <w:b/>
        </w:rPr>
        <w:t>173 899 osob</w:t>
      </w:r>
      <w:r w:rsidRPr="005D491C">
        <w:rPr>
          <w:rFonts w:ascii="Arial" w:hAnsi="Arial" w:cs="Arial"/>
        </w:rPr>
        <w:t>. Jednalo se o 294 přednášek pro studenty a 467 dalších akcí pro širší i odbornou veřejnost. Celkově došlo oproti roku 2020 k růstu celkového počtu akcí (o</w:t>
      </w:r>
      <w:r w:rsidR="00F37F4F">
        <w:rPr>
          <w:rFonts w:ascii="Arial" w:hAnsi="Arial" w:cs="Arial"/>
        </w:rPr>
        <w:t> </w:t>
      </w:r>
      <w:r w:rsidRPr="005D491C">
        <w:rPr>
          <w:rFonts w:ascii="Arial" w:hAnsi="Arial" w:cs="Arial"/>
        </w:rPr>
        <w:t xml:space="preserve">27,7 %) a podařilo se zároveň oslovit větší počet osob (o 33,9 %). Dalších </w:t>
      </w:r>
      <w:r w:rsidR="00F37F4F" w:rsidRPr="00FB1074">
        <w:rPr>
          <w:rFonts w:ascii="Arial" w:hAnsi="Arial" w:cs="Arial"/>
          <w:b/>
        </w:rPr>
        <w:t>90</w:t>
      </w:r>
      <w:r w:rsidR="00F37F4F" w:rsidRPr="005D491C">
        <w:rPr>
          <w:rFonts w:ascii="Arial" w:hAnsi="Arial" w:cs="Arial"/>
        </w:rPr>
        <w:t xml:space="preserve"> </w:t>
      </w:r>
      <w:r w:rsidRPr="005D491C">
        <w:rPr>
          <w:rFonts w:ascii="Arial" w:hAnsi="Arial" w:cs="Arial"/>
        </w:rPr>
        <w:t xml:space="preserve">akcí s dosahem </w:t>
      </w:r>
      <w:r w:rsidR="00F37F4F">
        <w:rPr>
          <w:rFonts w:ascii="Arial" w:hAnsi="Arial" w:cs="Arial"/>
        </w:rPr>
        <w:t>9 000</w:t>
      </w:r>
      <w:r w:rsidR="00F37F4F" w:rsidRPr="005D491C">
        <w:rPr>
          <w:rFonts w:ascii="Arial" w:hAnsi="Arial" w:cs="Arial"/>
        </w:rPr>
        <w:t xml:space="preserve"> </w:t>
      </w:r>
      <w:r w:rsidRPr="005D491C">
        <w:rPr>
          <w:rFonts w:ascii="Arial" w:hAnsi="Arial" w:cs="Arial"/>
        </w:rPr>
        <w:t xml:space="preserve">osob zaměřených na efektivní čerpání ESI fondů a nastavení kohezní politiky po roce 2020 realizovalo v rámci sítě </w:t>
      </w:r>
      <w:proofErr w:type="spellStart"/>
      <w:r w:rsidRPr="005D491C">
        <w:rPr>
          <w:rFonts w:ascii="Arial" w:hAnsi="Arial" w:cs="Arial"/>
        </w:rPr>
        <w:t>Eurocenter</w:t>
      </w:r>
      <w:proofErr w:type="spellEnd"/>
      <w:r w:rsidRPr="005D491C">
        <w:rPr>
          <w:rFonts w:ascii="Arial" w:hAnsi="Arial" w:cs="Arial"/>
        </w:rPr>
        <w:t xml:space="preserve"> Ministerstvo pro místní rozvoj. </w:t>
      </w:r>
    </w:p>
    <w:p w14:paraId="60F41C14" w14:textId="4666B41D" w:rsidR="00190456" w:rsidRPr="005D491C" w:rsidRDefault="00190456" w:rsidP="00622B7D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Činnost </w:t>
      </w:r>
      <w:proofErr w:type="spellStart"/>
      <w:r w:rsidRPr="005D491C">
        <w:rPr>
          <w:rFonts w:ascii="Arial" w:hAnsi="Arial" w:cs="Arial"/>
        </w:rPr>
        <w:t>Eurocenter</w:t>
      </w:r>
      <w:proofErr w:type="spellEnd"/>
      <w:r w:rsidRPr="005D491C">
        <w:rPr>
          <w:rFonts w:ascii="Arial" w:hAnsi="Arial" w:cs="Arial"/>
        </w:rPr>
        <w:t xml:space="preserve"> byla situací související s pandemií </w:t>
      </w:r>
      <w:proofErr w:type="spellStart"/>
      <w:r w:rsidRPr="00FB1074">
        <w:rPr>
          <w:rFonts w:ascii="Arial" w:hAnsi="Arial" w:cs="Arial"/>
          <w:b/>
        </w:rPr>
        <w:t>koronaviru</w:t>
      </w:r>
      <w:proofErr w:type="spellEnd"/>
      <w:r w:rsidRPr="00FB1074">
        <w:rPr>
          <w:rFonts w:ascii="Arial" w:hAnsi="Arial" w:cs="Arial"/>
          <w:b/>
        </w:rPr>
        <w:t xml:space="preserve"> silně ovlivněna</w:t>
      </w:r>
      <w:r w:rsidRPr="005D491C">
        <w:rPr>
          <w:rFonts w:ascii="Arial" w:hAnsi="Arial" w:cs="Arial"/>
        </w:rPr>
        <w:t xml:space="preserve"> i v roce 2021, podařilo se však navázat na zkušenosti z roku 2020 a pokračovat v osvědčených formátech v</w:t>
      </w:r>
      <w:r w:rsidR="00F37F4F">
        <w:rPr>
          <w:rFonts w:ascii="Arial" w:hAnsi="Arial" w:cs="Arial"/>
        </w:rPr>
        <w:t> </w:t>
      </w:r>
      <w:r w:rsidRPr="005D491C">
        <w:rPr>
          <w:rFonts w:ascii="Arial" w:hAnsi="Arial" w:cs="Arial"/>
        </w:rPr>
        <w:t xml:space="preserve">období, kdy nebylo možné realizovat aktivity v prezenční formě. </w:t>
      </w:r>
      <w:proofErr w:type="spellStart"/>
      <w:r w:rsidRPr="005D491C">
        <w:rPr>
          <w:rFonts w:ascii="Arial" w:hAnsi="Arial" w:cs="Arial"/>
        </w:rPr>
        <w:t>Eurocentra</w:t>
      </w:r>
      <w:proofErr w:type="spellEnd"/>
      <w:r w:rsidRPr="005D491C">
        <w:rPr>
          <w:rFonts w:ascii="Arial" w:hAnsi="Arial" w:cs="Arial"/>
        </w:rPr>
        <w:t xml:space="preserve"> při svých akcích a akcích, na kterých spolupracovala s dalšími partnery, nadále využívala např. živého vysílání na sociálních sítích nebo formátu videokonference. Část přednášek pro školy se podařilo uskutečnit prezenčně, ale i v roce 2021 byly tyto aktivity školám nabízeny také v</w:t>
      </w:r>
      <w:r w:rsidR="00674834">
        <w:rPr>
          <w:rFonts w:ascii="Arial" w:hAnsi="Arial" w:cs="Arial"/>
        </w:rPr>
        <w:t> </w:t>
      </w:r>
      <w:r w:rsidRPr="005D491C">
        <w:rPr>
          <w:rFonts w:ascii="Arial" w:hAnsi="Arial" w:cs="Arial"/>
        </w:rPr>
        <w:t>online formě, a to včetně dalších aktivit pro studenty a pedagogy.</w:t>
      </w:r>
    </w:p>
    <w:p w14:paraId="65A1D6B6" w14:textId="3599CB12" w:rsidR="005D491C" w:rsidRPr="005D491C" w:rsidRDefault="00302991" w:rsidP="005D491C">
      <w:pPr>
        <w:jc w:val="both"/>
        <w:rPr>
          <w:rFonts w:ascii="Times" w:hAnsi="Times"/>
        </w:rPr>
      </w:pPr>
      <w:r>
        <w:rPr>
          <w:rFonts w:ascii="Arial" w:hAnsi="Arial" w:cs="Arial"/>
        </w:rPr>
        <w:t xml:space="preserve">V roce 2021 byla síť posílena, když získala granty pro provozování čtyř regionálních středisek EUROPE DIRECT v Jihlavě, Karlových Varech, Liberci a Olomouci. </w:t>
      </w:r>
      <w:r w:rsidR="001F736F" w:rsidRPr="005D491C">
        <w:rPr>
          <w:rFonts w:ascii="Arial" w:hAnsi="Arial" w:cs="Arial"/>
        </w:rPr>
        <w:t xml:space="preserve">Projekt provozování informačních středisek bude realizován od 1. května 2021 do 31. prosince 2025. Střediska posilují dosavadní aktivity </w:t>
      </w:r>
      <w:proofErr w:type="spellStart"/>
      <w:r w:rsidR="001F736F" w:rsidRPr="005D491C">
        <w:rPr>
          <w:rFonts w:ascii="Arial" w:hAnsi="Arial" w:cs="Arial"/>
        </w:rPr>
        <w:t>Eurocenter</w:t>
      </w:r>
      <w:proofErr w:type="spellEnd"/>
      <w:r>
        <w:rPr>
          <w:rFonts w:ascii="Arial" w:hAnsi="Arial" w:cs="Arial"/>
        </w:rPr>
        <w:t xml:space="preserve"> a skýtají další prostor pro prohloubení spolupráce se Zastoupení</w:t>
      </w:r>
      <w:r w:rsidR="005E758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Evropské komise v ČR a Kanceláří Evropského parlamentu</w:t>
      </w:r>
      <w:r w:rsidR="001F736F" w:rsidRPr="005D491C">
        <w:rPr>
          <w:rFonts w:ascii="Arial" w:hAnsi="Arial" w:cs="Arial"/>
        </w:rPr>
        <w:t>. Poskytují informační servis o aktuálním dění v EU, přinášejí novinky týkající se EU v konkrétním kraji, organizují debaty a semináře pro odbornou i širokou veřejnost, přednášky pro školy a další aktivity související s členstvím České republiky v EU. Od začátku projektu se pracovníci informačních středisek aktivně zapojili i do informování o Konferenci o</w:t>
      </w:r>
      <w:r>
        <w:rPr>
          <w:rFonts w:ascii="Arial" w:hAnsi="Arial" w:cs="Arial"/>
        </w:rPr>
        <w:t> </w:t>
      </w:r>
      <w:r w:rsidR="001F736F" w:rsidRPr="005D491C">
        <w:rPr>
          <w:rFonts w:ascii="Arial" w:hAnsi="Arial" w:cs="Arial"/>
        </w:rPr>
        <w:t xml:space="preserve">budoucnosti Evropy. </w:t>
      </w:r>
    </w:p>
    <w:p w14:paraId="796364A0" w14:textId="07ED24C5" w:rsidR="00146D6C" w:rsidRPr="00146D6C" w:rsidRDefault="005D491C" w:rsidP="00146D6C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Střediska EUROPE DIRECT od května uspořádala </w:t>
      </w:r>
      <w:r w:rsidRPr="005D491C">
        <w:rPr>
          <w:rFonts w:ascii="Arial" w:hAnsi="Arial" w:cs="Arial"/>
          <w:b/>
          <w:bCs/>
        </w:rPr>
        <w:t>149 akcí</w:t>
      </w:r>
      <w:r w:rsidRPr="005D491C">
        <w:rPr>
          <w:rFonts w:ascii="Arial" w:hAnsi="Arial" w:cs="Arial"/>
        </w:rPr>
        <w:t xml:space="preserve">, kterých se zúčastnilo </w:t>
      </w:r>
      <w:r w:rsidRPr="005D491C">
        <w:rPr>
          <w:rFonts w:ascii="Arial" w:hAnsi="Arial" w:cs="Arial"/>
          <w:b/>
          <w:bCs/>
        </w:rPr>
        <w:t>11 484 osob</w:t>
      </w:r>
      <w:r w:rsidRPr="005D491C">
        <w:rPr>
          <w:rFonts w:ascii="Arial" w:hAnsi="Arial" w:cs="Arial"/>
        </w:rPr>
        <w:t xml:space="preserve">. Aktivity byly během roku realizovány prezenčně i online, a to vždy s ohledem na aktuální epidemiologickou situaci. </w:t>
      </w:r>
      <w:r w:rsidR="00146D6C" w:rsidRPr="00146D6C">
        <w:rPr>
          <w:rFonts w:ascii="Arial" w:hAnsi="Arial" w:cs="Arial"/>
        </w:rPr>
        <w:t xml:space="preserve">Lze předpokládat, že po </w:t>
      </w:r>
      <w:proofErr w:type="spellStart"/>
      <w:r w:rsidR="00146D6C" w:rsidRPr="00146D6C">
        <w:rPr>
          <w:rFonts w:ascii="Arial" w:hAnsi="Arial" w:cs="Arial"/>
        </w:rPr>
        <w:t>redesignu</w:t>
      </w:r>
      <w:proofErr w:type="spellEnd"/>
      <w:r w:rsidR="00146D6C" w:rsidRPr="00146D6C">
        <w:rPr>
          <w:rFonts w:ascii="Arial" w:hAnsi="Arial" w:cs="Arial"/>
        </w:rPr>
        <w:t xml:space="preserve"> stránky v roce 2022 a v souvislosti s blížícím se předsednictvím v Radě EU dojde </w:t>
      </w:r>
      <w:r w:rsidR="00146D6C">
        <w:rPr>
          <w:rFonts w:ascii="Arial" w:hAnsi="Arial" w:cs="Arial"/>
        </w:rPr>
        <w:t>k opětovnému nárůstu uživatelů.</w:t>
      </w:r>
    </w:p>
    <w:p w14:paraId="409E7CF8" w14:textId="643B3EB0" w:rsidR="00146D6C" w:rsidRPr="00146D6C" w:rsidRDefault="00146D6C" w:rsidP="00146D6C">
      <w:pPr>
        <w:jc w:val="both"/>
        <w:rPr>
          <w:rFonts w:ascii="Arial" w:hAnsi="Arial" w:cs="Arial"/>
        </w:rPr>
      </w:pPr>
      <w:r w:rsidRPr="00146D6C">
        <w:rPr>
          <w:rFonts w:ascii="Arial" w:hAnsi="Arial" w:cs="Arial"/>
        </w:rPr>
        <w:t xml:space="preserve">Počet fanoušků </w:t>
      </w:r>
      <w:proofErr w:type="spellStart"/>
      <w:r w:rsidRPr="00FB1074">
        <w:rPr>
          <w:rFonts w:ascii="Arial" w:hAnsi="Arial" w:cs="Arial"/>
          <w:b/>
        </w:rPr>
        <w:t>facebookové</w:t>
      </w:r>
      <w:proofErr w:type="spellEnd"/>
      <w:r w:rsidRPr="00146D6C">
        <w:rPr>
          <w:rFonts w:ascii="Arial" w:hAnsi="Arial" w:cs="Arial"/>
        </w:rPr>
        <w:t xml:space="preserve"> stránky </w:t>
      </w:r>
      <w:proofErr w:type="spellStart"/>
      <w:r w:rsidRPr="00146D6C">
        <w:rPr>
          <w:rFonts w:ascii="Arial" w:hAnsi="Arial" w:cs="Arial"/>
        </w:rPr>
        <w:t>Euroskopu</w:t>
      </w:r>
      <w:proofErr w:type="spellEnd"/>
      <w:r w:rsidRPr="00146D6C">
        <w:rPr>
          <w:rFonts w:ascii="Arial" w:hAnsi="Arial" w:cs="Arial"/>
        </w:rPr>
        <w:t xml:space="preserve"> v roce 2021 stoupl na  6</w:t>
      </w:r>
      <w:r>
        <w:rPr>
          <w:rFonts w:ascii="Arial" w:hAnsi="Arial" w:cs="Arial"/>
        </w:rPr>
        <w:t xml:space="preserve"> </w:t>
      </w:r>
      <w:r w:rsidRPr="00146D6C">
        <w:rPr>
          <w:rFonts w:ascii="Arial" w:hAnsi="Arial" w:cs="Arial"/>
        </w:rPr>
        <w:t xml:space="preserve">236 (nárůst oproti předešlému roku o cca 3 %). Profil </w:t>
      </w:r>
      <w:proofErr w:type="spellStart"/>
      <w:r w:rsidRPr="00146D6C">
        <w:rPr>
          <w:rFonts w:ascii="Arial" w:hAnsi="Arial" w:cs="Arial"/>
        </w:rPr>
        <w:t>Euroskopu</w:t>
      </w:r>
      <w:proofErr w:type="spellEnd"/>
      <w:r w:rsidRPr="00146D6C">
        <w:rPr>
          <w:rFonts w:ascii="Arial" w:hAnsi="Arial" w:cs="Arial"/>
        </w:rPr>
        <w:t xml:space="preserve"> na </w:t>
      </w:r>
      <w:proofErr w:type="spellStart"/>
      <w:r w:rsidRPr="00FB1074">
        <w:rPr>
          <w:rFonts w:ascii="Arial" w:hAnsi="Arial" w:cs="Arial"/>
          <w:b/>
        </w:rPr>
        <w:t>Twitteru</w:t>
      </w:r>
      <w:proofErr w:type="spellEnd"/>
      <w:r w:rsidRPr="00146D6C">
        <w:rPr>
          <w:rFonts w:ascii="Arial" w:hAnsi="Arial" w:cs="Arial"/>
        </w:rPr>
        <w:t xml:space="preserve"> měl na konci prosince 2021 celkem 4</w:t>
      </w:r>
      <w:r>
        <w:rPr>
          <w:rFonts w:ascii="Arial" w:hAnsi="Arial" w:cs="Arial"/>
        </w:rPr>
        <w:t xml:space="preserve"> </w:t>
      </w:r>
      <w:r w:rsidRPr="00146D6C">
        <w:rPr>
          <w:rFonts w:ascii="Arial" w:hAnsi="Arial" w:cs="Arial"/>
        </w:rPr>
        <w:t xml:space="preserve">149 sledovatelů, což je nárůst o cca 7 % oproti předcházejícímu roku. </w:t>
      </w:r>
      <w:proofErr w:type="spellStart"/>
      <w:r w:rsidRPr="00146D6C">
        <w:rPr>
          <w:rFonts w:ascii="Arial" w:hAnsi="Arial" w:cs="Arial"/>
        </w:rPr>
        <w:t>Euroskop</w:t>
      </w:r>
      <w:proofErr w:type="spellEnd"/>
      <w:r w:rsidRPr="00146D6C">
        <w:rPr>
          <w:rFonts w:ascii="Arial" w:hAnsi="Arial" w:cs="Arial"/>
        </w:rPr>
        <w:t xml:space="preserve"> také pokračuje v oslovení mladého publika prostřednictvím sítě </w:t>
      </w:r>
      <w:proofErr w:type="spellStart"/>
      <w:r w:rsidRPr="00146D6C">
        <w:rPr>
          <w:rFonts w:ascii="Arial" w:hAnsi="Arial" w:cs="Arial"/>
        </w:rPr>
        <w:t>Instagram</w:t>
      </w:r>
      <w:proofErr w:type="spellEnd"/>
      <w:r w:rsidRPr="00146D6C">
        <w:rPr>
          <w:rFonts w:ascii="Arial" w:hAnsi="Arial" w:cs="Arial"/>
        </w:rPr>
        <w:t xml:space="preserve">. Počet fanoušků na </w:t>
      </w:r>
      <w:proofErr w:type="spellStart"/>
      <w:r w:rsidRPr="00FB1074">
        <w:rPr>
          <w:rFonts w:ascii="Arial" w:hAnsi="Arial" w:cs="Arial"/>
          <w:b/>
        </w:rPr>
        <w:t>Instagramu</w:t>
      </w:r>
      <w:proofErr w:type="spellEnd"/>
      <w:r w:rsidRPr="00146D6C">
        <w:rPr>
          <w:rFonts w:ascii="Arial" w:hAnsi="Arial" w:cs="Arial"/>
        </w:rPr>
        <w:t xml:space="preserve"> </w:t>
      </w:r>
      <w:proofErr w:type="spellStart"/>
      <w:r w:rsidRPr="00146D6C">
        <w:rPr>
          <w:rFonts w:ascii="Arial" w:hAnsi="Arial" w:cs="Arial"/>
        </w:rPr>
        <w:t>Euroskopu</w:t>
      </w:r>
      <w:proofErr w:type="spellEnd"/>
      <w:r w:rsidRPr="00146D6C">
        <w:rPr>
          <w:rFonts w:ascii="Arial" w:hAnsi="Arial" w:cs="Arial"/>
        </w:rPr>
        <w:t xml:space="preserve"> dosáhl 1</w:t>
      </w:r>
      <w:r>
        <w:rPr>
          <w:rFonts w:ascii="Arial" w:hAnsi="Arial" w:cs="Arial"/>
        </w:rPr>
        <w:t xml:space="preserve"> </w:t>
      </w:r>
      <w:r w:rsidRPr="00146D6C">
        <w:rPr>
          <w:rFonts w:ascii="Arial" w:hAnsi="Arial" w:cs="Arial"/>
        </w:rPr>
        <w:t>752, což je nárůst oproti předeš</w:t>
      </w:r>
      <w:r>
        <w:rPr>
          <w:rFonts w:ascii="Arial" w:hAnsi="Arial" w:cs="Arial"/>
        </w:rPr>
        <w:t>lému roku o cca 30 %.</w:t>
      </w:r>
    </w:p>
    <w:p w14:paraId="2B58CF08" w14:textId="270368F5" w:rsidR="00146D6C" w:rsidRPr="00146D6C" w:rsidRDefault="00146D6C" w:rsidP="00146D6C">
      <w:pPr>
        <w:jc w:val="both"/>
        <w:rPr>
          <w:rFonts w:ascii="Arial" w:hAnsi="Arial" w:cs="Arial"/>
        </w:rPr>
      </w:pPr>
      <w:r w:rsidRPr="00146D6C">
        <w:rPr>
          <w:rFonts w:ascii="Arial" w:hAnsi="Arial" w:cs="Arial"/>
        </w:rPr>
        <w:t xml:space="preserve">V roce 2021 pokračovala aktivita </w:t>
      </w:r>
      <w:proofErr w:type="spellStart"/>
      <w:r w:rsidRPr="00146D6C">
        <w:rPr>
          <w:rFonts w:ascii="Arial" w:hAnsi="Arial" w:cs="Arial"/>
        </w:rPr>
        <w:t>Euroskopu</w:t>
      </w:r>
      <w:proofErr w:type="spellEnd"/>
      <w:r w:rsidRPr="00146D6C">
        <w:rPr>
          <w:rFonts w:ascii="Arial" w:hAnsi="Arial" w:cs="Arial"/>
        </w:rPr>
        <w:t xml:space="preserve"> na </w:t>
      </w:r>
      <w:proofErr w:type="spellStart"/>
      <w:r w:rsidRPr="00FB1074">
        <w:rPr>
          <w:rFonts w:ascii="Arial" w:hAnsi="Arial" w:cs="Arial"/>
          <w:b/>
        </w:rPr>
        <w:t>Youtube</w:t>
      </w:r>
      <w:proofErr w:type="spellEnd"/>
      <w:r w:rsidRPr="00146D6C">
        <w:rPr>
          <w:rFonts w:ascii="Arial" w:hAnsi="Arial" w:cs="Arial"/>
        </w:rPr>
        <w:t xml:space="preserve">, kde vzrostl počet odběratelů kanálu portálu </w:t>
      </w:r>
      <w:proofErr w:type="spellStart"/>
      <w:r w:rsidRPr="00146D6C">
        <w:rPr>
          <w:rFonts w:ascii="Arial" w:hAnsi="Arial" w:cs="Arial"/>
        </w:rPr>
        <w:t>Euroskop</w:t>
      </w:r>
      <w:proofErr w:type="spellEnd"/>
      <w:r w:rsidRPr="00146D6C">
        <w:rPr>
          <w:rFonts w:ascii="Arial" w:hAnsi="Arial" w:cs="Arial"/>
        </w:rPr>
        <w:t xml:space="preserve"> o 33 % oproti roku 2020.  Redakce publikovala celkem 15 videí a zaznamenala na </w:t>
      </w:r>
      <w:proofErr w:type="spellStart"/>
      <w:r w:rsidRPr="00146D6C">
        <w:rPr>
          <w:rFonts w:ascii="Arial" w:hAnsi="Arial" w:cs="Arial"/>
        </w:rPr>
        <w:t>Youtube</w:t>
      </w:r>
      <w:proofErr w:type="spellEnd"/>
      <w:r w:rsidRPr="00146D6C">
        <w:rPr>
          <w:rFonts w:ascii="Arial" w:hAnsi="Arial" w:cs="Arial"/>
        </w:rPr>
        <w:t xml:space="preserve"> kaná</w:t>
      </w:r>
      <w:r>
        <w:rPr>
          <w:rFonts w:ascii="Arial" w:hAnsi="Arial" w:cs="Arial"/>
        </w:rPr>
        <w:t xml:space="preserve">lu </w:t>
      </w:r>
      <w:proofErr w:type="spellStart"/>
      <w:r>
        <w:rPr>
          <w:rFonts w:ascii="Arial" w:hAnsi="Arial" w:cs="Arial"/>
        </w:rPr>
        <w:t>Euroskopu</w:t>
      </w:r>
      <w:proofErr w:type="spellEnd"/>
      <w:r>
        <w:rPr>
          <w:rFonts w:ascii="Arial" w:hAnsi="Arial" w:cs="Arial"/>
        </w:rPr>
        <w:t xml:space="preserve"> 11 200 zhlédnutí. </w:t>
      </w:r>
    </w:p>
    <w:p w14:paraId="0CB6E78D" w14:textId="090B3110" w:rsidR="005D491C" w:rsidRPr="005D491C" w:rsidRDefault="00146D6C" w:rsidP="00146D6C">
      <w:pPr>
        <w:jc w:val="both"/>
        <w:rPr>
          <w:rFonts w:ascii="Arial" w:hAnsi="Arial" w:cs="Arial"/>
        </w:rPr>
      </w:pPr>
      <w:proofErr w:type="spellStart"/>
      <w:r w:rsidRPr="00146D6C">
        <w:rPr>
          <w:rFonts w:ascii="Arial" w:hAnsi="Arial" w:cs="Arial"/>
        </w:rPr>
        <w:lastRenderedPageBreak/>
        <w:t>Euroskop</w:t>
      </w:r>
      <w:proofErr w:type="spellEnd"/>
      <w:r w:rsidRPr="00146D6C">
        <w:rPr>
          <w:rFonts w:ascii="Arial" w:hAnsi="Arial" w:cs="Arial"/>
        </w:rPr>
        <w:t xml:space="preserve"> též působí na profesní sociální síti </w:t>
      </w:r>
      <w:proofErr w:type="spellStart"/>
      <w:r w:rsidRPr="00FB1074">
        <w:rPr>
          <w:rFonts w:ascii="Arial" w:hAnsi="Arial" w:cs="Arial"/>
          <w:b/>
        </w:rPr>
        <w:t>LinkedIn</w:t>
      </w:r>
      <w:proofErr w:type="spellEnd"/>
      <w:r w:rsidRPr="00146D6C">
        <w:rPr>
          <w:rFonts w:ascii="Arial" w:hAnsi="Arial" w:cs="Arial"/>
        </w:rPr>
        <w:t xml:space="preserve">, kde se zaměřuje na sdílení příspěvků o volných pozicích, stážích v institucích EU a dalších příležitostech pro studenty a uchazeče o zaměstnání. V rámci výše zmíněného se </w:t>
      </w:r>
      <w:proofErr w:type="spellStart"/>
      <w:r w:rsidRPr="00146D6C">
        <w:rPr>
          <w:rFonts w:ascii="Arial" w:hAnsi="Arial" w:cs="Arial"/>
        </w:rPr>
        <w:t>Euroskop</w:t>
      </w:r>
      <w:proofErr w:type="spellEnd"/>
      <w:r w:rsidRPr="00146D6C">
        <w:rPr>
          <w:rFonts w:ascii="Arial" w:hAnsi="Arial" w:cs="Arial"/>
        </w:rPr>
        <w:t xml:space="preserve"> dlouhodobě zapojuje do kampaně #</w:t>
      </w:r>
      <w:proofErr w:type="spellStart"/>
      <w:r w:rsidRPr="00146D6C">
        <w:rPr>
          <w:rFonts w:ascii="Arial" w:hAnsi="Arial" w:cs="Arial"/>
        </w:rPr>
        <w:t>karieravEU</w:t>
      </w:r>
      <w:proofErr w:type="spellEnd"/>
      <w:r w:rsidRPr="00146D6C">
        <w:rPr>
          <w:rFonts w:ascii="Arial" w:hAnsi="Arial" w:cs="Arial"/>
        </w:rPr>
        <w:t xml:space="preserve"> (také na ostatních sociálních sítích).</w:t>
      </w:r>
    </w:p>
    <w:p w14:paraId="4A342616" w14:textId="08F95E13" w:rsidR="009437B0" w:rsidRPr="005D491C" w:rsidRDefault="00146D6C" w:rsidP="009437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hAnsi="Arial" w:cs="Arial"/>
        </w:rPr>
        <w:t>Euroskop</w:t>
      </w:r>
      <w:proofErr w:type="spellEnd"/>
      <w:r>
        <w:rPr>
          <w:rFonts w:ascii="Arial" w:hAnsi="Arial" w:cs="Arial"/>
        </w:rPr>
        <w:t xml:space="preserve"> rovněž v rámci projektu </w:t>
      </w:r>
      <w:r w:rsidR="00622B7D" w:rsidRPr="005D491C">
        <w:rPr>
          <w:rFonts w:ascii="Arial" w:hAnsi="Arial" w:cs="Arial"/>
        </w:rPr>
        <w:t>„Zábavně o Evropě“, který vznikl jako reakce na pandemii covid</w:t>
      </w:r>
      <w:r>
        <w:rPr>
          <w:rFonts w:ascii="Arial" w:hAnsi="Arial" w:cs="Arial"/>
        </w:rPr>
        <w:t>u</w:t>
      </w:r>
      <w:r w:rsidR="00622B7D" w:rsidRPr="005D491C">
        <w:rPr>
          <w:rFonts w:ascii="Arial" w:hAnsi="Arial" w:cs="Arial"/>
        </w:rPr>
        <w:t>-19 a z ní vyplývající</w:t>
      </w:r>
      <w:r w:rsidR="005E758A">
        <w:rPr>
          <w:rFonts w:ascii="Arial" w:hAnsi="Arial" w:cs="Arial"/>
        </w:rPr>
        <w:t>ho</w:t>
      </w:r>
      <w:r w:rsidR="00622B7D" w:rsidRPr="005D491C">
        <w:rPr>
          <w:rFonts w:ascii="Arial" w:hAnsi="Arial" w:cs="Arial"/>
        </w:rPr>
        <w:t xml:space="preserve"> omezení kulturního vyžití a prezenční výuky</w:t>
      </w:r>
      <w:r w:rsidR="005E7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vytvořil tištěnou publikaci, </w:t>
      </w:r>
      <w:r w:rsidR="009437B0" w:rsidRPr="005D491C">
        <w:rPr>
          <w:rFonts w:ascii="Arial" w:eastAsia="Times New Roman" w:hAnsi="Arial" w:cs="Arial"/>
          <w:lang w:eastAsia="cs-CZ"/>
        </w:rPr>
        <w:t xml:space="preserve">která zahrnuje výběr příspěvků zveřejněných na portále </w:t>
      </w:r>
      <w:proofErr w:type="spellStart"/>
      <w:r w:rsidR="009437B0" w:rsidRPr="005D491C">
        <w:rPr>
          <w:rFonts w:ascii="Arial" w:eastAsia="Times New Roman" w:hAnsi="Arial" w:cs="Arial"/>
          <w:lang w:eastAsia="cs-CZ"/>
        </w:rPr>
        <w:t>Euroskop</w:t>
      </w:r>
      <w:proofErr w:type="spellEnd"/>
      <w:r w:rsidR="009437B0" w:rsidRPr="005D491C">
        <w:rPr>
          <w:rFonts w:ascii="Arial" w:eastAsia="Times New Roman" w:hAnsi="Arial" w:cs="Arial"/>
          <w:lang w:eastAsia="cs-CZ"/>
        </w:rPr>
        <w:t xml:space="preserve">. </w:t>
      </w:r>
    </w:p>
    <w:p w14:paraId="030AC1DA" w14:textId="06BD6D20" w:rsidR="00305058" w:rsidRPr="005D491C" w:rsidRDefault="00622B7D" w:rsidP="00305058">
      <w:pPr>
        <w:pStyle w:val="NadpisC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5D491C">
        <w:rPr>
          <w:rFonts w:ascii="Arial" w:hAnsi="Arial" w:cs="Arial"/>
          <w:b w:val="0"/>
          <w:sz w:val="22"/>
          <w:szCs w:val="22"/>
        </w:rPr>
        <w:t>V roce 202</w:t>
      </w:r>
      <w:r w:rsidR="00146D6C">
        <w:rPr>
          <w:rFonts w:ascii="Arial" w:hAnsi="Arial" w:cs="Arial"/>
          <w:b w:val="0"/>
          <w:sz w:val="22"/>
          <w:szCs w:val="22"/>
        </w:rPr>
        <w:t>1</w:t>
      </w:r>
      <w:r w:rsidRPr="005D491C">
        <w:rPr>
          <w:rFonts w:ascii="Arial" w:hAnsi="Arial" w:cs="Arial"/>
          <w:b w:val="0"/>
          <w:sz w:val="22"/>
          <w:szCs w:val="22"/>
        </w:rPr>
        <w:t xml:space="preserve"> bylo na </w:t>
      </w:r>
      <w:r w:rsidRPr="005D491C">
        <w:rPr>
          <w:rFonts w:ascii="Arial" w:hAnsi="Arial" w:cs="Arial"/>
          <w:sz w:val="22"/>
          <w:szCs w:val="22"/>
        </w:rPr>
        <w:t xml:space="preserve">lince </w:t>
      </w:r>
      <w:proofErr w:type="spellStart"/>
      <w:r w:rsidRPr="005D491C">
        <w:rPr>
          <w:rFonts w:ascii="Arial" w:hAnsi="Arial" w:cs="Arial"/>
          <w:sz w:val="22"/>
          <w:szCs w:val="22"/>
        </w:rPr>
        <w:t>Eurofon</w:t>
      </w:r>
      <w:proofErr w:type="spellEnd"/>
      <w:r w:rsidRPr="005D491C">
        <w:rPr>
          <w:rFonts w:ascii="Arial" w:hAnsi="Arial" w:cs="Arial"/>
          <w:b w:val="0"/>
          <w:sz w:val="22"/>
          <w:szCs w:val="22"/>
        </w:rPr>
        <w:t xml:space="preserve"> zodpovězeno více než 1 200 dotazů. Počet odbavených hovorů výrazně ovlivnila pandemická situace, neumožňující fyzickou přítomnost operátorů linky na pracovišti. Proto již byly do budoucna podniknuty kroky k</w:t>
      </w:r>
      <w:r w:rsidR="00AF370B" w:rsidRPr="005D491C">
        <w:rPr>
          <w:rFonts w:ascii="Arial" w:hAnsi="Arial" w:cs="Arial"/>
          <w:b w:val="0"/>
          <w:sz w:val="22"/>
          <w:szCs w:val="22"/>
        </w:rPr>
        <w:t>e</w:t>
      </w:r>
      <w:r w:rsidRPr="005D491C">
        <w:rPr>
          <w:rFonts w:ascii="Arial" w:hAnsi="Arial" w:cs="Arial"/>
          <w:b w:val="0"/>
          <w:sz w:val="22"/>
          <w:szCs w:val="22"/>
        </w:rPr>
        <w:t xml:space="preserve"> změně tohoto stavu. Kromě telefonických hovorů vypracovali pracovníci </w:t>
      </w:r>
      <w:proofErr w:type="spellStart"/>
      <w:r w:rsidRPr="005D491C">
        <w:rPr>
          <w:rFonts w:ascii="Arial" w:hAnsi="Arial" w:cs="Arial"/>
          <w:b w:val="0"/>
          <w:sz w:val="22"/>
          <w:szCs w:val="22"/>
        </w:rPr>
        <w:t>Eurofonu</w:t>
      </w:r>
      <w:proofErr w:type="spellEnd"/>
      <w:r w:rsidRPr="005D491C">
        <w:rPr>
          <w:rFonts w:ascii="Arial" w:hAnsi="Arial" w:cs="Arial"/>
          <w:b w:val="0"/>
          <w:sz w:val="22"/>
          <w:szCs w:val="22"/>
        </w:rPr>
        <w:t xml:space="preserve"> v roce </w:t>
      </w:r>
      <w:r w:rsidR="00146D6C" w:rsidRPr="005D491C">
        <w:rPr>
          <w:rFonts w:ascii="Arial" w:hAnsi="Arial" w:cs="Arial"/>
          <w:b w:val="0"/>
          <w:sz w:val="22"/>
          <w:szCs w:val="22"/>
        </w:rPr>
        <w:t>202</w:t>
      </w:r>
      <w:r w:rsidR="00146D6C">
        <w:rPr>
          <w:rFonts w:ascii="Arial" w:hAnsi="Arial" w:cs="Arial"/>
          <w:b w:val="0"/>
          <w:sz w:val="22"/>
          <w:szCs w:val="22"/>
        </w:rPr>
        <w:t>1</w:t>
      </w:r>
      <w:r w:rsidR="00146D6C" w:rsidRPr="005D491C">
        <w:rPr>
          <w:rFonts w:ascii="Arial" w:hAnsi="Arial" w:cs="Arial"/>
          <w:b w:val="0"/>
          <w:sz w:val="22"/>
          <w:szCs w:val="22"/>
        </w:rPr>
        <w:t xml:space="preserve"> </w:t>
      </w:r>
      <w:r w:rsidRPr="005D491C">
        <w:rPr>
          <w:rFonts w:ascii="Arial" w:hAnsi="Arial" w:cs="Arial"/>
          <w:b w:val="0"/>
          <w:sz w:val="22"/>
          <w:szCs w:val="22"/>
        </w:rPr>
        <w:t>také téměř 340 odpovědí na e-mailové dotazy veřejnosti a prostřednictvím online chatové podpory na webových stránkách www.dotaceEU.cz zodpověděli více než 600 dotazů. Elektronická komunikace se u veřejnosti těší stoupající popularitě.</w:t>
      </w:r>
    </w:p>
    <w:p w14:paraId="7B24C48F" w14:textId="67551F62" w:rsidR="00622B7D" w:rsidRPr="005D491C" w:rsidRDefault="00622B7D" w:rsidP="00305058">
      <w:pPr>
        <w:pStyle w:val="NadpisC"/>
        <w:spacing w:line="288" w:lineRule="auto"/>
        <w:rPr>
          <w:rFonts w:ascii="Arial" w:hAnsi="Arial" w:cs="Arial"/>
          <w:b w:val="0"/>
          <w:sz w:val="22"/>
          <w:szCs w:val="22"/>
        </w:rPr>
      </w:pPr>
    </w:p>
    <w:p w14:paraId="75DCE5B2" w14:textId="2F4CE811" w:rsidR="00146D6C" w:rsidRDefault="00146D6C" w:rsidP="009437B0">
      <w:pPr>
        <w:jc w:val="both"/>
        <w:rPr>
          <w:rFonts w:ascii="Arial" w:hAnsi="Arial" w:cs="Arial"/>
        </w:rPr>
      </w:pPr>
      <w:r w:rsidRPr="00146D6C">
        <w:rPr>
          <w:rFonts w:ascii="Arial" w:hAnsi="Arial" w:cs="Arial"/>
        </w:rPr>
        <w:t xml:space="preserve">V rámci Národního konventu o EU se v roce 2021 se uskutečnilo 9 odborných kulatých stolů se souhrnnou účastí 741 osob. Na kulatých stolech se diskutovala témata Nového paktu o migraci a azylu a budoucnost migrační politiky, Aktuální výzvy v oblasti zdravotnictví na evropské úrovni, Reforma systému obchodování s emisními povolenkami EU ETS, Vztah EU a USA po nástupu </w:t>
      </w:r>
      <w:proofErr w:type="spellStart"/>
      <w:r w:rsidRPr="00146D6C">
        <w:rPr>
          <w:rFonts w:ascii="Arial" w:hAnsi="Arial" w:cs="Arial"/>
        </w:rPr>
        <w:t>Bidenovy</w:t>
      </w:r>
      <w:proofErr w:type="spellEnd"/>
      <w:r w:rsidRPr="00146D6C">
        <w:rPr>
          <w:rFonts w:ascii="Arial" w:hAnsi="Arial" w:cs="Arial"/>
        </w:rPr>
        <w:t xml:space="preserve"> administrativy, Strategická autonomie EU, Bezpečnost a boj proti terorismu v Evropě, Program předsednického tria Francie-Česko-Švédsko, Udržitelná mobilita v kontextu balíčku „Fit </w:t>
      </w:r>
      <w:proofErr w:type="spellStart"/>
      <w:r w:rsidRPr="00146D6C">
        <w:rPr>
          <w:rFonts w:ascii="Arial" w:hAnsi="Arial" w:cs="Arial"/>
        </w:rPr>
        <w:t>for</w:t>
      </w:r>
      <w:proofErr w:type="spellEnd"/>
      <w:r w:rsidRPr="00146D6C">
        <w:rPr>
          <w:rFonts w:ascii="Arial" w:hAnsi="Arial" w:cs="Arial"/>
        </w:rPr>
        <w:t xml:space="preserve"> 55" a Vztahy EU s východním sousedstvím. Z proběhnuvších kulatých stolů vzešlo celkem 37 doporučení pro vládu ČR, která byla prezentována na pracovní</w:t>
      </w:r>
      <w:r w:rsidR="005E758A">
        <w:rPr>
          <w:rFonts w:ascii="Arial" w:hAnsi="Arial" w:cs="Arial"/>
        </w:rPr>
        <w:t xml:space="preserve"> úrovni Výboru pro EU a setkání</w:t>
      </w:r>
      <w:r w:rsidRPr="00146D6C">
        <w:rPr>
          <w:rFonts w:ascii="Arial" w:hAnsi="Arial" w:cs="Arial"/>
        </w:rPr>
        <w:t xml:space="preserve"> pracovního týmu Rady hospodářské a sociální dohody pro EU. Informace o činnosti Národního konventu o EU jsou šířeny i prostřednictvím sociálních sítí </w:t>
      </w:r>
      <w:proofErr w:type="spellStart"/>
      <w:r w:rsidRPr="00146D6C">
        <w:rPr>
          <w:rFonts w:ascii="Arial" w:hAnsi="Arial" w:cs="Arial"/>
        </w:rPr>
        <w:t>Facebook</w:t>
      </w:r>
      <w:proofErr w:type="spellEnd"/>
      <w:r w:rsidRPr="00146D6C">
        <w:rPr>
          <w:rFonts w:ascii="Arial" w:hAnsi="Arial" w:cs="Arial"/>
        </w:rPr>
        <w:t xml:space="preserve">, </w:t>
      </w:r>
      <w:proofErr w:type="spellStart"/>
      <w:r w:rsidRPr="00146D6C">
        <w:rPr>
          <w:rFonts w:ascii="Arial" w:hAnsi="Arial" w:cs="Arial"/>
        </w:rPr>
        <w:t>Twitter</w:t>
      </w:r>
      <w:proofErr w:type="spellEnd"/>
      <w:r w:rsidRPr="00146D6C">
        <w:rPr>
          <w:rFonts w:ascii="Arial" w:hAnsi="Arial" w:cs="Arial"/>
        </w:rPr>
        <w:t xml:space="preserve"> a videa z kulatých stolů jsou zveřejňována prostřednictvím </w:t>
      </w:r>
      <w:proofErr w:type="spellStart"/>
      <w:r w:rsidRPr="00146D6C">
        <w:rPr>
          <w:rFonts w:ascii="Arial" w:hAnsi="Arial" w:cs="Arial"/>
        </w:rPr>
        <w:t>YouTube</w:t>
      </w:r>
      <w:proofErr w:type="spellEnd"/>
      <w:r w:rsidRPr="00146D6C">
        <w:rPr>
          <w:rFonts w:ascii="Arial" w:hAnsi="Arial" w:cs="Arial"/>
        </w:rPr>
        <w:t>.</w:t>
      </w:r>
    </w:p>
    <w:p w14:paraId="45C3DABF" w14:textId="019164F2" w:rsidR="00AD2918" w:rsidRPr="005D491C" w:rsidRDefault="00AD2918" w:rsidP="00305058">
      <w:pPr>
        <w:spacing w:after="0" w:line="288" w:lineRule="auto"/>
        <w:jc w:val="both"/>
        <w:rPr>
          <w:rFonts w:ascii="Arial" w:hAnsi="Arial" w:cs="Arial"/>
        </w:rPr>
      </w:pPr>
    </w:p>
    <w:p w14:paraId="1FE94932" w14:textId="73C351C0" w:rsidR="00A108EF" w:rsidRPr="005D491C" w:rsidRDefault="005C2622" w:rsidP="00305058">
      <w:pPr>
        <w:spacing w:after="0" w:line="288" w:lineRule="auto"/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V rámci jednotlivých komunikačních priorit byly </w:t>
      </w:r>
      <w:r w:rsidRPr="005D491C">
        <w:rPr>
          <w:rFonts w:ascii="Arial" w:hAnsi="Arial" w:cs="Arial"/>
          <w:b/>
        </w:rPr>
        <w:t xml:space="preserve">indikátory </w:t>
      </w:r>
      <w:r w:rsidRPr="005D491C">
        <w:rPr>
          <w:rFonts w:ascii="Arial" w:hAnsi="Arial" w:cs="Arial"/>
        </w:rPr>
        <w:t xml:space="preserve">stanovené </w:t>
      </w:r>
      <w:r w:rsidR="00B75475" w:rsidRPr="005D491C">
        <w:rPr>
          <w:rFonts w:ascii="Arial" w:hAnsi="Arial" w:cs="Arial"/>
        </w:rPr>
        <w:t>pro rok 20</w:t>
      </w:r>
      <w:r w:rsidR="009437B0" w:rsidRPr="005D491C">
        <w:rPr>
          <w:rFonts w:ascii="Arial" w:hAnsi="Arial" w:cs="Arial"/>
        </w:rPr>
        <w:t>21</w:t>
      </w:r>
      <w:r w:rsidRPr="005D491C">
        <w:rPr>
          <w:rFonts w:ascii="Arial" w:hAnsi="Arial" w:cs="Arial"/>
        </w:rPr>
        <w:t xml:space="preserve"> plněny následujícím způsobem: </w:t>
      </w:r>
    </w:p>
    <w:p w14:paraId="3EAD3681" w14:textId="06B71361" w:rsidR="00190456" w:rsidRPr="005D491C" w:rsidRDefault="00190456" w:rsidP="00305058">
      <w:pPr>
        <w:spacing w:after="0" w:line="288" w:lineRule="auto"/>
        <w:jc w:val="both"/>
        <w:rPr>
          <w:rFonts w:ascii="Arial" w:hAnsi="Arial" w:cs="Arial"/>
        </w:rPr>
      </w:pPr>
    </w:p>
    <w:p w14:paraId="6A484FFD" w14:textId="76F74952" w:rsidR="00190456" w:rsidRPr="005D491C" w:rsidRDefault="00190456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V rámci cíle </w:t>
      </w:r>
      <w:r w:rsidRPr="005D491C">
        <w:rPr>
          <w:rFonts w:ascii="Arial" w:hAnsi="Arial" w:cs="Arial"/>
          <w:b/>
        </w:rPr>
        <w:t>„Mír a bezpečnost“</w:t>
      </w:r>
      <w:r w:rsidRPr="005D491C">
        <w:rPr>
          <w:rFonts w:ascii="Arial" w:hAnsi="Arial" w:cs="Arial"/>
        </w:rPr>
        <w:t xml:space="preserve"> se uskutečnilo celkem </w:t>
      </w:r>
      <w:r w:rsidR="005D491C" w:rsidRPr="005D491C">
        <w:rPr>
          <w:rFonts w:ascii="Arial" w:hAnsi="Arial" w:cs="Arial"/>
          <w:b/>
        </w:rPr>
        <w:t>25 aktivit, které oslovily 21 361 osob</w:t>
      </w:r>
      <w:r w:rsidRPr="005D491C">
        <w:rPr>
          <w:rFonts w:ascii="Arial" w:hAnsi="Arial" w:cs="Arial"/>
        </w:rPr>
        <w:t>. Tyto akce se věnovaly tématu vnitřní a vnější bezpečnosti Unie vč. zapojení ČR do misí EU, rozšiřování EU a kybernetické bezpečnosti. Plánovaný minimální počet 15 akcí s dosahem alespoň 10 000 osob se podařilo překročit.</w:t>
      </w:r>
      <w:r w:rsidR="00CB5668" w:rsidRPr="005D491C">
        <w:rPr>
          <w:rFonts w:ascii="Arial" w:hAnsi="Arial" w:cs="Arial"/>
        </w:rPr>
        <w:t xml:space="preserve"> Zároveň v rámci naplňování tohoto cíle probíhalo</w:t>
      </w:r>
      <w:r w:rsidR="005E758A">
        <w:rPr>
          <w:rFonts w:ascii="Arial" w:hAnsi="Arial" w:cs="Arial"/>
        </w:rPr>
        <w:t xml:space="preserve"> </w:t>
      </w:r>
      <w:r w:rsidR="00CB5668" w:rsidRPr="005D491C">
        <w:rPr>
          <w:rFonts w:ascii="Arial" w:hAnsi="Arial" w:cs="Arial"/>
        </w:rPr>
        <w:t xml:space="preserve">zapojení do aktivit zastřešených kampaní </w:t>
      </w:r>
      <w:r w:rsidR="005B0B78">
        <w:rPr>
          <w:rFonts w:ascii="Arial" w:hAnsi="Arial" w:cs="Arial"/>
        </w:rPr>
        <w:t>„</w:t>
      </w:r>
      <w:proofErr w:type="spellStart"/>
      <w:r w:rsidR="00CB5668" w:rsidRPr="005D491C">
        <w:rPr>
          <w:rFonts w:ascii="Arial" w:hAnsi="Arial" w:cs="Arial"/>
        </w:rPr>
        <w:t>We</w:t>
      </w:r>
      <w:proofErr w:type="spellEnd"/>
      <w:r w:rsidR="00CB5668" w:rsidRPr="005D491C">
        <w:rPr>
          <w:rFonts w:ascii="Arial" w:hAnsi="Arial" w:cs="Arial"/>
        </w:rPr>
        <w:t xml:space="preserve"> Are NATO</w:t>
      </w:r>
      <w:r w:rsidR="005B0B78">
        <w:rPr>
          <w:rFonts w:ascii="Arial" w:hAnsi="Arial" w:cs="Arial"/>
        </w:rPr>
        <w:t>“</w:t>
      </w:r>
      <w:r w:rsidR="00CB5668" w:rsidRPr="005D491C">
        <w:rPr>
          <w:rFonts w:ascii="Arial" w:hAnsi="Arial" w:cs="Arial"/>
        </w:rPr>
        <w:t xml:space="preserve">. Prostřednictvím odborných článků a analýz portálu </w:t>
      </w:r>
      <w:proofErr w:type="spellStart"/>
      <w:r w:rsidR="00CB5668" w:rsidRPr="005D491C">
        <w:rPr>
          <w:rFonts w:ascii="Arial" w:hAnsi="Arial" w:cs="Arial"/>
        </w:rPr>
        <w:t>Euroskop</w:t>
      </w:r>
      <w:proofErr w:type="spellEnd"/>
      <w:r w:rsidR="00CB5668" w:rsidRPr="005D491C">
        <w:rPr>
          <w:rFonts w:ascii="Arial" w:hAnsi="Arial" w:cs="Arial"/>
        </w:rPr>
        <w:t xml:space="preserve"> doprovázených </w:t>
      </w:r>
      <w:proofErr w:type="spellStart"/>
      <w:r w:rsidR="00CB5668" w:rsidRPr="005D491C">
        <w:rPr>
          <w:rFonts w:ascii="Arial" w:hAnsi="Arial" w:cs="Arial"/>
        </w:rPr>
        <w:t>infografikami</w:t>
      </w:r>
      <w:proofErr w:type="spellEnd"/>
      <w:r w:rsidR="00CB5668" w:rsidRPr="005D491C">
        <w:rPr>
          <w:rFonts w:ascii="Arial" w:hAnsi="Arial" w:cs="Arial"/>
        </w:rPr>
        <w:t xml:space="preserve"> byly široké veřejnosti vysvětlovány nástroje a výstupy Společné bezpečnostní a obranné politiky EU a představovány oblasti spolupráce EU a NATO. V roce 2021 se redakce věnovala mimo jiné otázkám spolupráce NATO a evropských zemí mimo Severoatlantickou alianci, nebo zapojení ČR do mezinárodní spolupráce v </w:t>
      </w:r>
      <w:proofErr w:type="spellStart"/>
      <w:r w:rsidR="00CB5668" w:rsidRPr="005D491C">
        <w:rPr>
          <w:rFonts w:ascii="Arial" w:hAnsi="Arial" w:cs="Arial"/>
        </w:rPr>
        <w:t>kyberbezpečnosti</w:t>
      </w:r>
      <w:proofErr w:type="spellEnd"/>
      <w:r w:rsidR="00CB5668" w:rsidRPr="005D491C">
        <w:rPr>
          <w:rFonts w:ascii="Arial" w:hAnsi="Arial" w:cs="Arial"/>
        </w:rPr>
        <w:t xml:space="preserve">.  </w:t>
      </w:r>
    </w:p>
    <w:p w14:paraId="733186DB" w14:textId="1721DC2F" w:rsidR="00190456" w:rsidRPr="005D491C" w:rsidRDefault="00190456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V rámci cíle </w:t>
      </w:r>
      <w:r w:rsidRPr="005D491C">
        <w:rPr>
          <w:rFonts w:ascii="Arial" w:hAnsi="Arial" w:cs="Arial"/>
          <w:b/>
        </w:rPr>
        <w:t xml:space="preserve">„Hospodářský rozvoj“ </w:t>
      </w:r>
      <w:r w:rsidRPr="005D491C">
        <w:rPr>
          <w:rFonts w:ascii="Arial" w:hAnsi="Arial" w:cs="Arial"/>
        </w:rPr>
        <w:t xml:space="preserve">se v roce 2021 konalo celkem </w:t>
      </w:r>
      <w:r w:rsidR="005D491C" w:rsidRPr="005D491C">
        <w:rPr>
          <w:rFonts w:ascii="Arial" w:hAnsi="Arial" w:cs="Arial"/>
          <w:b/>
        </w:rPr>
        <w:t>69</w:t>
      </w:r>
      <w:r w:rsidRPr="005D491C">
        <w:rPr>
          <w:rFonts w:ascii="Arial" w:hAnsi="Arial" w:cs="Arial"/>
          <w:b/>
        </w:rPr>
        <w:t xml:space="preserve"> akcí</w:t>
      </w:r>
      <w:r w:rsidRPr="005D491C">
        <w:rPr>
          <w:rFonts w:ascii="Arial" w:hAnsi="Arial" w:cs="Arial"/>
        </w:rPr>
        <w:t xml:space="preserve"> s dosahem </w:t>
      </w:r>
      <w:r w:rsidR="005D491C" w:rsidRPr="005D491C">
        <w:rPr>
          <w:rFonts w:ascii="Arial" w:hAnsi="Arial" w:cs="Arial"/>
          <w:b/>
        </w:rPr>
        <w:t>16 438</w:t>
      </w:r>
      <w:r w:rsidRPr="005D491C">
        <w:rPr>
          <w:rFonts w:ascii="Arial" w:hAnsi="Arial" w:cs="Arial"/>
          <w:b/>
        </w:rPr>
        <w:t xml:space="preserve"> osob</w:t>
      </w:r>
      <w:r w:rsidRPr="005D491C">
        <w:rPr>
          <w:rFonts w:ascii="Arial" w:hAnsi="Arial" w:cs="Arial"/>
        </w:rPr>
        <w:t>. Prioritu „Ekonomická obnova v kontextu pandemie covid-19“ pokrylo</w:t>
      </w:r>
      <w:r w:rsidR="005D491C" w:rsidRPr="005D491C">
        <w:rPr>
          <w:rFonts w:ascii="Arial" w:hAnsi="Arial" w:cs="Arial"/>
        </w:rPr>
        <w:t xml:space="preserve"> 47 akcí s účastí 15 004 osob. </w:t>
      </w:r>
      <w:r w:rsidRPr="005D491C">
        <w:rPr>
          <w:rFonts w:ascii="Arial" w:hAnsi="Arial" w:cs="Arial"/>
        </w:rPr>
        <w:t xml:space="preserve"> Plánovaný počet 30 akcí se podařilo překročit, odchylka od plánovaného minimálního dosahu 17 500 byla způsobena skutečností, že větší část aktivit </w:t>
      </w:r>
      <w:r w:rsidR="005B0B78">
        <w:rPr>
          <w:rFonts w:ascii="Arial" w:hAnsi="Arial" w:cs="Arial"/>
        </w:rPr>
        <w:t>byla</w:t>
      </w:r>
      <w:r w:rsidR="005E758A">
        <w:rPr>
          <w:rFonts w:ascii="Arial" w:hAnsi="Arial" w:cs="Arial"/>
        </w:rPr>
        <w:t>,</w:t>
      </w:r>
      <w:r w:rsidR="005B0B78">
        <w:rPr>
          <w:rFonts w:ascii="Arial" w:hAnsi="Arial" w:cs="Arial"/>
        </w:rPr>
        <w:t xml:space="preserve"> oproti </w:t>
      </w:r>
      <w:r w:rsidR="005B0B78">
        <w:rPr>
          <w:rFonts w:ascii="Arial" w:hAnsi="Arial" w:cs="Arial"/>
        </w:rPr>
        <w:lastRenderedPageBreak/>
        <w:t>původnímu očekávaní</w:t>
      </w:r>
      <w:r w:rsidR="005E758A">
        <w:rPr>
          <w:rFonts w:ascii="Arial" w:hAnsi="Arial" w:cs="Arial"/>
        </w:rPr>
        <w:t>,</w:t>
      </w:r>
      <w:r w:rsidR="005B0B78">
        <w:rPr>
          <w:rFonts w:ascii="Arial" w:hAnsi="Arial" w:cs="Arial"/>
        </w:rPr>
        <w:t xml:space="preserve"> zrealizována</w:t>
      </w:r>
      <w:r w:rsidRPr="005D491C">
        <w:rPr>
          <w:rFonts w:ascii="Arial" w:hAnsi="Arial" w:cs="Arial"/>
        </w:rPr>
        <w:t xml:space="preserve"> prezenčn</w:t>
      </w:r>
      <w:r w:rsidR="005B0B78">
        <w:rPr>
          <w:rFonts w:ascii="Arial" w:hAnsi="Arial" w:cs="Arial"/>
        </w:rPr>
        <w:t>í formou.</w:t>
      </w:r>
      <w:r w:rsidRPr="005D491C">
        <w:rPr>
          <w:rFonts w:ascii="Arial" w:hAnsi="Arial" w:cs="Arial"/>
        </w:rPr>
        <w:t xml:space="preserve"> Byla tak zachována větší interaktivita s publikem. V rámci priority „Nový víceletý finanční rámec, nastavení kohezní politiky po roce 2020 a podpora využívání přímo řízených programů EU“ </w:t>
      </w:r>
      <w:proofErr w:type="spellStart"/>
      <w:r w:rsidRPr="005D491C">
        <w:rPr>
          <w:rFonts w:ascii="Arial" w:hAnsi="Arial" w:cs="Arial"/>
        </w:rPr>
        <w:t>Eurocentra</w:t>
      </w:r>
      <w:proofErr w:type="spellEnd"/>
      <w:r w:rsidRPr="005D491C">
        <w:rPr>
          <w:rFonts w:ascii="Arial" w:hAnsi="Arial" w:cs="Arial"/>
        </w:rPr>
        <w:t xml:space="preserve"> zorganizovala celkem </w:t>
      </w:r>
      <w:r w:rsidR="005D491C" w:rsidRPr="005D491C">
        <w:rPr>
          <w:rFonts w:ascii="Arial" w:hAnsi="Arial" w:cs="Arial"/>
        </w:rPr>
        <w:t>22</w:t>
      </w:r>
      <w:r w:rsidRPr="005D491C">
        <w:rPr>
          <w:rFonts w:ascii="Arial" w:hAnsi="Arial" w:cs="Arial"/>
        </w:rPr>
        <w:t xml:space="preserve"> akcí a plánovaný minimální počet 20 akcí se podařilo naplnit. Dosah těchto akcí byl 1</w:t>
      </w:r>
      <w:r w:rsidR="005D491C" w:rsidRPr="005D491C">
        <w:rPr>
          <w:rFonts w:ascii="Arial" w:hAnsi="Arial" w:cs="Arial"/>
        </w:rPr>
        <w:t xml:space="preserve"> 434</w:t>
      </w:r>
      <w:r w:rsidRPr="005D491C">
        <w:rPr>
          <w:rFonts w:ascii="Arial" w:hAnsi="Arial" w:cs="Arial"/>
        </w:rPr>
        <w:t xml:space="preserve"> osob oproti očekávaným 12 500, a to opět z důvodu využití prezenční formy aktivit a využití výhod osobního kontaktu s účastníky. Aktivity pokryly především tato témata: iniciativy v rámci zelené obnovy a digitální transformace, Plán obnovy, prohlubování vnitřního trhu, dopady </w:t>
      </w:r>
      <w:proofErr w:type="spellStart"/>
      <w:r w:rsidRPr="005D491C">
        <w:rPr>
          <w:rFonts w:ascii="Arial" w:hAnsi="Arial" w:cs="Arial"/>
        </w:rPr>
        <w:t>brexitu</w:t>
      </w:r>
      <w:proofErr w:type="spellEnd"/>
      <w:r w:rsidRPr="005D491C">
        <w:rPr>
          <w:rFonts w:ascii="Arial" w:hAnsi="Arial" w:cs="Arial"/>
        </w:rPr>
        <w:t>, nastavení nového víceletého finančního rámce, kohezní politiky a přímo řízených programů.</w:t>
      </w:r>
    </w:p>
    <w:p w14:paraId="4E0F799E" w14:textId="10D9673B" w:rsidR="00190456" w:rsidRPr="005D491C" w:rsidRDefault="00190456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Tématu nastavení kohezní politiky po roce 2020 se věnovaly především aktivity Ministerstva pro místní rozvoj. </w:t>
      </w:r>
      <w:r w:rsidR="00F37F4F">
        <w:rPr>
          <w:rFonts w:ascii="Arial" w:hAnsi="Arial" w:cs="Arial"/>
        </w:rPr>
        <w:t xml:space="preserve"> </w:t>
      </w:r>
      <w:proofErr w:type="spellStart"/>
      <w:r w:rsidR="00F37F4F" w:rsidRPr="00F37F4F">
        <w:rPr>
          <w:rFonts w:ascii="Arial" w:hAnsi="Arial" w:cs="Arial"/>
        </w:rPr>
        <w:t>Eurocentra</w:t>
      </w:r>
      <w:proofErr w:type="spellEnd"/>
      <w:r w:rsidR="00F37F4F" w:rsidRPr="00F37F4F">
        <w:rPr>
          <w:rFonts w:ascii="Arial" w:hAnsi="Arial" w:cs="Arial"/>
        </w:rPr>
        <w:t xml:space="preserve"> (část MMR) zrealizovala v roce 2021 téměř 90 akcí s tématikou evropských fondů, kterých se zúčastnilo více jak 9 000 osob. Mezi hlavní události patřily tradiční Dny otevřených dveří na projektech podpořených z fondů EU. V letošním roce se veřejnosti zdarma otevřeli například projekty Minipivovar a kostel v Neratově, Zámecké návrší v Litomyšli, nebo Muzeum Olomouckých tvarůžků v Lošticích. Mimo to se také zrealizovaly čtyři On-line dny otevřených dveří – dvouhodinové živé vysílání představující osm projektů vždy v </w:t>
      </w:r>
      <w:r w:rsidR="005E758A">
        <w:rPr>
          <w:rFonts w:ascii="Arial" w:hAnsi="Arial" w:cs="Arial"/>
        </w:rPr>
        <w:t>jednom vybraném městě, přenášené</w:t>
      </w:r>
      <w:r w:rsidR="00F37F4F" w:rsidRPr="00F37F4F">
        <w:rPr>
          <w:rFonts w:ascii="Arial" w:hAnsi="Arial" w:cs="Arial"/>
        </w:rPr>
        <w:t xml:space="preserve"> na </w:t>
      </w:r>
      <w:proofErr w:type="spellStart"/>
      <w:r w:rsidR="00F37F4F" w:rsidRPr="00F37F4F">
        <w:rPr>
          <w:rFonts w:ascii="Arial" w:hAnsi="Arial" w:cs="Arial"/>
        </w:rPr>
        <w:t>Facebook</w:t>
      </w:r>
      <w:proofErr w:type="spellEnd"/>
      <w:r w:rsidR="00F37F4F" w:rsidRPr="00F37F4F">
        <w:rPr>
          <w:rFonts w:ascii="Arial" w:hAnsi="Arial" w:cs="Arial"/>
        </w:rPr>
        <w:t xml:space="preserve"> a </w:t>
      </w:r>
      <w:proofErr w:type="spellStart"/>
      <w:r w:rsidR="00F37F4F" w:rsidRPr="00F37F4F">
        <w:rPr>
          <w:rFonts w:ascii="Arial" w:hAnsi="Arial" w:cs="Arial"/>
        </w:rPr>
        <w:t>Youtube</w:t>
      </w:r>
      <w:proofErr w:type="spellEnd"/>
      <w:r w:rsidR="00F37F4F" w:rsidRPr="00F37F4F">
        <w:rPr>
          <w:rFonts w:ascii="Arial" w:hAnsi="Arial" w:cs="Arial"/>
        </w:rPr>
        <w:t xml:space="preserve">. Videa následně cíli na </w:t>
      </w:r>
      <w:r w:rsidR="005E758A">
        <w:rPr>
          <w:rFonts w:ascii="Arial" w:hAnsi="Arial" w:cs="Arial"/>
        </w:rPr>
        <w:t>z</w:t>
      </w:r>
      <w:r w:rsidR="00F37F4F" w:rsidRPr="00F37F4F">
        <w:rPr>
          <w:rFonts w:ascii="Arial" w:hAnsi="Arial" w:cs="Arial"/>
        </w:rPr>
        <w:t>hlédnutí i po ukončeném živém vysílání. V roce 2021 se představily projekty v Kutné Hoře, Novém Jičíně, Broumově a Žďáru nad Sázavou.“</w:t>
      </w:r>
    </w:p>
    <w:p w14:paraId="0BAD3147" w14:textId="7CF52689" w:rsidR="00A96ADA" w:rsidRPr="005D491C" w:rsidRDefault="00637665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Na </w:t>
      </w:r>
      <w:r w:rsidR="00A96ADA" w:rsidRPr="005D491C">
        <w:rPr>
          <w:rFonts w:ascii="Arial" w:hAnsi="Arial" w:cs="Arial"/>
        </w:rPr>
        <w:t>portál</w:t>
      </w:r>
      <w:r w:rsidRPr="005D491C">
        <w:rPr>
          <w:rFonts w:ascii="Arial" w:hAnsi="Arial" w:cs="Arial"/>
        </w:rPr>
        <w:t>u</w:t>
      </w:r>
      <w:r w:rsidR="00A96ADA" w:rsidRPr="005D491C">
        <w:rPr>
          <w:rFonts w:ascii="Arial" w:hAnsi="Arial" w:cs="Arial"/>
        </w:rPr>
        <w:t xml:space="preserve"> </w:t>
      </w:r>
      <w:proofErr w:type="spellStart"/>
      <w:r w:rsidR="00A96ADA" w:rsidRPr="005D491C">
        <w:rPr>
          <w:rFonts w:ascii="Arial" w:hAnsi="Arial" w:cs="Arial"/>
        </w:rPr>
        <w:t>Euroskop</w:t>
      </w:r>
      <w:proofErr w:type="spellEnd"/>
      <w:r w:rsidR="00A96ADA" w:rsidRPr="005D491C">
        <w:rPr>
          <w:rFonts w:ascii="Arial" w:hAnsi="Arial" w:cs="Arial"/>
        </w:rPr>
        <w:t xml:space="preserve"> bylo věnováno </w:t>
      </w:r>
      <w:r w:rsidRPr="005D491C">
        <w:rPr>
          <w:rFonts w:ascii="Arial" w:hAnsi="Arial" w:cs="Arial"/>
        </w:rPr>
        <w:t xml:space="preserve">široké spektrum textů </w:t>
      </w:r>
      <w:r w:rsidR="00A96ADA" w:rsidRPr="005D491C">
        <w:rPr>
          <w:rFonts w:ascii="Arial" w:hAnsi="Arial" w:cs="Arial"/>
        </w:rPr>
        <w:t>jednotlivým aspektům ekonomické obnovy po covidu-19, důraz byl kladen na informace o no</w:t>
      </w:r>
      <w:r w:rsidR="005E758A">
        <w:rPr>
          <w:rFonts w:ascii="Arial" w:hAnsi="Arial" w:cs="Arial"/>
        </w:rPr>
        <w:t xml:space="preserve">vém nástroji </w:t>
      </w:r>
      <w:proofErr w:type="spellStart"/>
      <w:r w:rsidR="005E758A">
        <w:rPr>
          <w:rFonts w:ascii="Arial" w:hAnsi="Arial" w:cs="Arial"/>
        </w:rPr>
        <w:t>Next</w:t>
      </w:r>
      <w:proofErr w:type="spellEnd"/>
      <w:r w:rsidR="005E758A">
        <w:rPr>
          <w:rFonts w:ascii="Arial" w:hAnsi="Arial" w:cs="Arial"/>
        </w:rPr>
        <w:t xml:space="preserve"> </w:t>
      </w:r>
      <w:proofErr w:type="spellStart"/>
      <w:r w:rsidR="005E758A">
        <w:rPr>
          <w:rFonts w:ascii="Arial" w:hAnsi="Arial" w:cs="Arial"/>
        </w:rPr>
        <w:t>Generation</w:t>
      </w:r>
      <w:proofErr w:type="spellEnd"/>
      <w:r w:rsidR="005E758A">
        <w:rPr>
          <w:rFonts w:ascii="Arial" w:hAnsi="Arial" w:cs="Arial"/>
        </w:rPr>
        <w:t xml:space="preserve"> EU</w:t>
      </w:r>
      <w:r w:rsidR="00A96ADA" w:rsidRPr="005D491C">
        <w:rPr>
          <w:rFonts w:ascii="Arial" w:hAnsi="Arial" w:cs="Arial"/>
        </w:rPr>
        <w:t xml:space="preserve">  či souvislostem plánů na digitální a zelené oživení. V rámci priority „Nový víceletý finanční rámec, nastavení kohezní politiky po roce 2020 a podpora využívání přímo řízených programů EU“ </w:t>
      </w:r>
      <w:proofErr w:type="spellStart"/>
      <w:r w:rsidR="00A96ADA" w:rsidRPr="005D491C">
        <w:rPr>
          <w:rFonts w:ascii="Arial" w:hAnsi="Arial" w:cs="Arial"/>
        </w:rPr>
        <w:t>Euroskop</w:t>
      </w:r>
      <w:proofErr w:type="spellEnd"/>
      <w:r w:rsidR="00A96ADA" w:rsidRPr="005D491C">
        <w:rPr>
          <w:rFonts w:ascii="Arial" w:hAnsi="Arial" w:cs="Arial"/>
        </w:rPr>
        <w:t xml:space="preserve"> ve spolupráci s odborníky z Úřadu vlády publikoval sérii článků a reportáží věnovaných tomuto tématu. </w:t>
      </w:r>
    </w:p>
    <w:p w14:paraId="21F5955A" w14:textId="17320BDB" w:rsidR="005B0B78" w:rsidRDefault="00190456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V rámci cíle </w:t>
      </w:r>
      <w:r w:rsidRPr="005D491C">
        <w:rPr>
          <w:rFonts w:ascii="Arial" w:hAnsi="Arial" w:cs="Arial"/>
          <w:b/>
        </w:rPr>
        <w:t>„Spravedlnost a solidarita“</w:t>
      </w:r>
      <w:r w:rsidRPr="005D491C">
        <w:rPr>
          <w:rFonts w:ascii="Arial" w:hAnsi="Arial" w:cs="Arial"/>
        </w:rPr>
        <w:t xml:space="preserve"> se uskutečnilo celkem </w:t>
      </w:r>
      <w:r w:rsidR="005D491C" w:rsidRPr="005D491C">
        <w:rPr>
          <w:rFonts w:ascii="Arial" w:hAnsi="Arial" w:cs="Arial"/>
          <w:b/>
        </w:rPr>
        <w:t>30 akcí</w:t>
      </w:r>
      <w:r w:rsidR="005D491C" w:rsidRPr="005D491C">
        <w:rPr>
          <w:rFonts w:ascii="Arial" w:hAnsi="Arial" w:cs="Arial"/>
        </w:rPr>
        <w:t xml:space="preserve">, které oslovily </w:t>
      </w:r>
      <w:r w:rsidR="005D491C" w:rsidRPr="005D491C">
        <w:rPr>
          <w:rFonts w:ascii="Arial" w:hAnsi="Arial" w:cs="Arial"/>
          <w:b/>
        </w:rPr>
        <w:t>58 711 zájemců</w:t>
      </w:r>
      <w:r w:rsidR="005D491C" w:rsidRPr="005D491C">
        <w:rPr>
          <w:rFonts w:ascii="Arial" w:hAnsi="Arial" w:cs="Arial"/>
        </w:rPr>
        <w:t xml:space="preserve"> </w:t>
      </w:r>
      <w:r w:rsidRPr="005D491C">
        <w:rPr>
          <w:rFonts w:ascii="Arial" w:hAnsi="Arial" w:cs="Arial"/>
        </w:rPr>
        <w:t xml:space="preserve">o tuto problematiku. Z hlediska </w:t>
      </w:r>
      <w:r w:rsidR="005B0B78">
        <w:rPr>
          <w:rFonts w:ascii="Arial" w:hAnsi="Arial" w:cs="Arial"/>
        </w:rPr>
        <w:t>dosahu</w:t>
      </w:r>
      <w:r w:rsidRPr="005D491C">
        <w:rPr>
          <w:rFonts w:ascii="Arial" w:hAnsi="Arial" w:cs="Arial"/>
        </w:rPr>
        <w:t xml:space="preserve"> byla nejúspěšnější priorita „Posilování spolupráce na evropské úrovni v oblasti zdravotnictví“, která se věnovala boji proti pandemii, společn</w:t>
      </w:r>
      <w:r w:rsidR="005E758A">
        <w:rPr>
          <w:rFonts w:ascii="Arial" w:hAnsi="Arial" w:cs="Arial"/>
        </w:rPr>
        <w:t>ým nákupům, koordinaci očkování</w:t>
      </w:r>
      <w:r w:rsidRPr="005D491C">
        <w:rPr>
          <w:rFonts w:ascii="Arial" w:hAnsi="Arial" w:cs="Arial"/>
        </w:rPr>
        <w:t xml:space="preserve"> apod. V rámci této priority se uskutečnilo 10 akcí (shodný počet s plánem), které oslovily 47 810 osob, což je výrazně více oproti plánovanému počtu 7 500 osob. </w:t>
      </w:r>
      <w:r w:rsidR="00904C2C" w:rsidRPr="005D491C">
        <w:rPr>
          <w:rFonts w:ascii="Arial" w:hAnsi="Arial" w:cs="Arial"/>
        </w:rPr>
        <w:t xml:space="preserve">Portál </w:t>
      </w:r>
      <w:proofErr w:type="spellStart"/>
      <w:r w:rsidR="00904C2C" w:rsidRPr="005D491C">
        <w:rPr>
          <w:rFonts w:ascii="Arial" w:hAnsi="Arial" w:cs="Arial"/>
        </w:rPr>
        <w:t>Euroskop</w:t>
      </w:r>
      <w:proofErr w:type="spellEnd"/>
      <w:r w:rsidR="00904C2C" w:rsidRPr="005D491C">
        <w:rPr>
          <w:rFonts w:ascii="Arial" w:hAnsi="Arial" w:cs="Arial"/>
        </w:rPr>
        <w:t xml:space="preserve"> se tématu věnoval v rámci aktuálního zpravodajství i prostřednictvím analytických textů o nových návrzích v této oblasti. </w:t>
      </w:r>
    </w:p>
    <w:p w14:paraId="1884B849" w14:textId="3F5A63EB" w:rsidR="00B57742" w:rsidRPr="005D491C" w:rsidRDefault="00190456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>V rámci priority „Ochrana</w:t>
      </w:r>
      <w:r w:rsidR="005D491C" w:rsidRPr="005D491C">
        <w:rPr>
          <w:rFonts w:ascii="Arial" w:hAnsi="Arial" w:cs="Arial"/>
        </w:rPr>
        <w:t xml:space="preserve"> spotřebitele“ se uskutečnilo 20</w:t>
      </w:r>
      <w:r w:rsidRPr="005D491C">
        <w:rPr>
          <w:rFonts w:ascii="Arial" w:hAnsi="Arial" w:cs="Arial"/>
        </w:rPr>
        <w:t xml:space="preserve"> akcí s dosahe</w:t>
      </w:r>
      <w:r w:rsidR="005D491C" w:rsidRPr="005D491C">
        <w:rPr>
          <w:rFonts w:ascii="Arial" w:hAnsi="Arial" w:cs="Arial"/>
        </w:rPr>
        <w:t>m 10 901</w:t>
      </w:r>
      <w:r w:rsidRPr="005D491C">
        <w:rPr>
          <w:rFonts w:ascii="Arial" w:hAnsi="Arial" w:cs="Arial"/>
        </w:rPr>
        <w:t xml:space="preserve"> </w:t>
      </w:r>
      <w:r w:rsidR="005B0B78">
        <w:rPr>
          <w:rFonts w:ascii="Arial" w:hAnsi="Arial" w:cs="Arial"/>
        </w:rPr>
        <w:t xml:space="preserve">osob </w:t>
      </w:r>
      <w:r w:rsidRPr="005D491C">
        <w:rPr>
          <w:rFonts w:ascii="Arial" w:hAnsi="Arial" w:cs="Arial"/>
        </w:rPr>
        <w:t>a</w:t>
      </w:r>
      <w:r w:rsidR="005B0B78">
        <w:rPr>
          <w:rFonts w:ascii="Arial" w:hAnsi="Arial" w:cs="Arial"/>
        </w:rPr>
        <w:t> </w:t>
      </w:r>
      <w:r w:rsidRPr="005D491C">
        <w:rPr>
          <w:rFonts w:ascii="Arial" w:hAnsi="Arial" w:cs="Arial"/>
        </w:rPr>
        <w:t>podařilo se tak u obou ukazatelů překonat stanovený plánovaný počet. Tato priorita pokryla mj. problematiku práv v digitální oblasti a v dopravě v kontextu Evropského roku železnice 2021.</w:t>
      </w:r>
      <w:r w:rsidR="00904C2C" w:rsidRPr="005D491C">
        <w:rPr>
          <w:rFonts w:ascii="Arial" w:hAnsi="Arial" w:cs="Arial"/>
        </w:rPr>
        <w:t xml:space="preserve"> </w:t>
      </w:r>
      <w:r w:rsidR="004F5117" w:rsidRPr="005D491C">
        <w:rPr>
          <w:rFonts w:ascii="Arial" w:hAnsi="Arial" w:cs="Arial"/>
        </w:rPr>
        <w:t xml:space="preserve">Těmto tématům se též věnoval portál </w:t>
      </w:r>
      <w:proofErr w:type="spellStart"/>
      <w:r w:rsidR="004F5117" w:rsidRPr="005D491C">
        <w:rPr>
          <w:rFonts w:ascii="Arial" w:hAnsi="Arial" w:cs="Arial"/>
        </w:rPr>
        <w:t>Euroskop</w:t>
      </w:r>
      <w:proofErr w:type="spellEnd"/>
      <w:r w:rsidR="004F5117" w:rsidRPr="005D491C">
        <w:rPr>
          <w:rFonts w:ascii="Arial" w:hAnsi="Arial" w:cs="Arial"/>
        </w:rPr>
        <w:t xml:space="preserve"> ve zpravodajské části i v rámci monitoringu legislativy.</w:t>
      </w:r>
    </w:p>
    <w:p w14:paraId="6044C8D0" w14:textId="75F45C35" w:rsidR="00190456" w:rsidRPr="005D491C" w:rsidRDefault="00190456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Celkem </w:t>
      </w:r>
      <w:r w:rsidR="005D491C" w:rsidRPr="005D491C">
        <w:rPr>
          <w:rFonts w:ascii="Arial" w:hAnsi="Arial" w:cs="Arial"/>
          <w:b/>
        </w:rPr>
        <w:t>637</w:t>
      </w:r>
      <w:r w:rsidRPr="005D491C">
        <w:rPr>
          <w:rFonts w:ascii="Arial" w:hAnsi="Arial" w:cs="Arial"/>
          <w:b/>
        </w:rPr>
        <w:t xml:space="preserve"> aktivit</w:t>
      </w:r>
      <w:r w:rsidRPr="005D491C">
        <w:rPr>
          <w:rFonts w:ascii="Arial" w:hAnsi="Arial" w:cs="Arial"/>
        </w:rPr>
        <w:t xml:space="preserve"> se uskutečnilo v rámci cíle </w:t>
      </w:r>
      <w:r w:rsidRPr="005D491C">
        <w:rPr>
          <w:rFonts w:ascii="Arial" w:hAnsi="Arial" w:cs="Arial"/>
          <w:b/>
        </w:rPr>
        <w:t>„Pevné evropské ukotvení ČR“</w:t>
      </w:r>
      <w:r w:rsidRPr="005D491C">
        <w:rPr>
          <w:rFonts w:ascii="Arial" w:hAnsi="Arial" w:cs="Arial"/>
        </w:rPr>
        <w:t xml:space="preserve">, dosah těchto akcí byl </w:t>
      </w:r>
      <w:r w:rsidR="005D491C" w:rsidRPr="005D491C">
        <w:rPr>
          <w:rFonts w:ascii="Arial" w:hAnsi="Arial" w:cs="Arial"/>
          <w:b/>
        </w:rPr>
        <w:t>76 198</w:t>
      </w:r>
      <w:r w:rsidRPr="005D491C">
        <w:rPr>
          <w:rFonts w:ascii="Arial" w:hAnsi="Arial" w:cs="Arial"/>
          <w:b/>
        </w:rPr>
        <w:t xml:space="preserve"> osob</w:t>
      </w:r>
      <w:r w:rsidR="005D491C" w:rsidRPr="005D491C">
        <w:rPr>
          <w:rFonts w:ascii="Arial" w:hAnsi="Arial" w:cs="Arial"/>
        </w:rPr>
        <w:t>. V rámci tohoto cíle se 547</w:t>
      </w:r>
      <w:r w:rsidRPr="005D491C">
        <w:rPr>
          <w:rFonts w:ascii="Arial" w:hAnsi="Arial" w:cs="Arial"/>
        </w:rPr>
        <w:t xml:space="preserve"> aktivit s účastí 6</w:t>
      </w:r>
      <w:r w:rsidR="005D491C" w:rsidRPr="005D491C">
        <w:rPr>
          <w:rFonts w:ascii="Arial" w:hAnsi="Arial" w:cs="Arial"/>
        </w:rPr>
        <w:t>4 176</w:t>
      </w:r>
      <w:r w:rsidRPr="005D491C">
        <w:rPr>
          <w:rFonts w:ascii="Arial" w:hAnsi="Arial" w:cs="Arial"/>
        </w:rPr>
        <w:t xml:space="preserve"> osob věnovalo prioritě „Zapojení občanů do Konference o budoucnosti Evropy“ a pokryly mj. základní informace o</w:t>
      </w:r>
      <w:r w:rsidR="005B0B78">
        <w:rPr>
          <w:rFonts w:ascii="Arial" w:hAnsi="Arial" w:cs="Arial"/>
        </w:rPr>
        <w:t> </w:t>
      </w:r>
      <w:r w:rsidRPr="005D491C">
        <w:rPr>
          <w:rFonts w:ascii="Arial" w:hAnsi="Arial" w:cs="Arial"/>
        </w:rPr>
        <w:t>EU, společné hodnoty v kontextu akčního plánu pro demokracii, věnovaly se historii, kultuře, právnímu řádu, společné měně a budoucnosti EU. V plánu na rok 2021 bylo stanoveno minimálně 100 akcí s dosahem 30 000 osob a jedno diskuzní setkání v rámci Konference o</w:t>
      </w:r>
      <w:r w:rsidR="005B0B78">
        <w:rPr>
          <w:rFonts w:ascii="Arial" w:hAnsi="Arial" w:cs="Arial"/>
        </w:rPr>
        <w:t> </w:t>
      </w:r>
      <w:r w:rsidRPr="005D491C">
        <w:rPr>
          <w:rFonts w:ascii="Arial" w:hAnsi="Arial" w:cs="Arial"/>
        </w:rPr>
        <w:t xml:space="preserve">budoucnosti Evropy v každém regionu. Tato diskuzní setkání se podařilo realizovat – část prezenčně a část s ohledem na epidemiologickou situaci online. Jednalo se o 12 regionálních </w:t>
      </w:r>
      <w:r w:rsidRPr="005D491C">
        <w:rPr>
          <w:rFonts w:ascii="Arial" w:hAnsi="Arial" w:cs="Arial"/>
        </w:rPr>
        <w:lastRenderedPageBreak/>
        <w:t>debat, které v prosinci zakončila průběžná hodnotící konference. Celkový stanovený počet akcí a jejich dosah se podařilo významně překonat.</w:t>
      </w:r>
    </w:p>
    <w:p w14:paraId="78513CB0" w14:textId="7059587F" w:rsidR="00904C2C" w:rsidRPr="005D491C" w:rsidRDefault="004F5117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Portál </w:t>
      </w:r>
      <w:proofErr w:type="spellStart"/>
      <w:r w:rsidR="00904C2C" w:rsidRPr="005D491C">
        <w:rPr>
          <w:rFonts w:ascii="Arial" w:hAnsi="Arial" w:cs="Arial"/>
        </w:rPr>
        <w:t>Euroskop</w:t>
      </w:r>
      <w:proofErr w:type="spellEnd"/>
      <w:r w:rsidRPr="005D491C">
        <w:rPr>
          <w:rFonts w:ascii="Arial" w:hAnsi="Arial" w:cs="Arial"/>
        </w:rPr>
        <w:t xml:space="preserve"> v roce 2021 na podporu aktivit orga</w:t>
      </w:r>
      <w:r w:rsidR="005E758A">
        <w:rPr>
          <w:rFonts w:ascii="Arial" w:hAnsi="Arial" w:cs="Arial"/>
        </w:rPr>
        <w:t>nizovaných v rámci Konference o </w:t>
      </w:r>
      <w:r w:rsidRPr="005D491C">
        <w:rPr>
          <w:rFonts w:ascii="Arial" w:hAnsi="Arial" w:cs="Arial"/>
        </w:rPr>
        <w:t>budoucnosti Evropy zřídil novou rubriku určenou k informování veřejnosti o dění souvisejícím s Konferencí a debatami o budoucnosti Evropy. Rubrika se věnoval</w:t>
      </w:r>
      <w:r w:rsidR="005E758A">
        <w:rPr>
          <w:rFonts w:ascii="Arial" w:hAnsi="Arial" w:cs="Arial"/>
        </w:rPr>
        <w:t>a událostem v českých regionech</w:t>
      </w:r>
      <w:r w:rsidRPr="005D491C">
        <w:rPr>
          <w:rFonts w:ascii="Arial" w:hAnsi="Arial" w:cs="Arial"/>
        </w:rPr>
        <w:t xml:space="preserve"> i na celoevropské úrovni. Zároveň byl u této příležitosti zveřejněn patnáctidílný cyklus pokrývající důležité proslovy o budoucnosti Evropy z nedávné doby a z počátků evropské integrace.</w:t>
      </w:r>
    </w:p>
    <w:p w14:paraId="49D8CBAC" w14:textId="6AB8DADB" w:rsidR="00190456" w:rsidRPr="005D491C" w:rsidRDefault="00190456" w:rsidP="00190456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Dalších </w:t>
      </w:r>
      <w:r w:rsidR="005D491C" w:rsidRPr="005D491C">
        <w:rPr>
          <w:rFonts w:ascii="Arial" w:hAnsi="Arial" w:cs="Arial"/>
        </w:rPr>
        <w:t>90</w:t>
      </w:r>
      <w:r w:rsidRPr="005D491C">
        <w:rPr>
          <w:rFonts w:ascii="Arial" w:hAnsi="Arial" w:cs="Arial"/>
        </w:rPr>
        <w:t xml:space="preserve"> aktivit s účastí 1</w:t>
      </w:r>
      <w:r w:rsidR="005D491C" w:rsidRPr="005D491C">
        <w:rPr>
          <w:rFonts w:ascii="Arial" w:hAnsi="Arial" w:cs="Arial"/>
        </w:rPr>
        <w:t>2 093</w:t>
      </w:r>
      <w:r w:rsidRPr="005D491C">
        <w:rPr>
          <w:rFonts w:ascii="Arial" w:hAnsi="Arial" w:cs="Arial"/>
        </w:rPr>
        <w:t xml:space="preserve"> osob se uskutečnilo v rámci priority „České předsednictví v Radě EU 2022“. Plánovaný počet 30 akcí se podařilo překročit,.</w:t>
      </w:r>
      <w:r w:rsidR="0019733E" w:rsidRPr="005D491C">
        <w:rPr>
          <w:rFonts w:ascii="Arial" w:hAnsi="Arial" w:cs="Arial"/>
        </w:rPr>
        <w:t xml:space="preserve"> </w:t>
      </w:r>
      <w:r w:rsidR="005B0B78">
        <w:rPr>
          <w:rFonts w:ascii="Arial" w:hAnsi="Arial" w:cs="Arial"/>
        </w:rPr>
        <w:t xml:space="preserve">O předsednictví bylo navíc informováno i na většině ostatních pořádaných akcí, jejichž účastníci jsou zahrnuti u jiných priorit. </w:t>
      </w:r>
      <w:r w:rsidR="0019733E" w:rsidRPr="005D491C">
        <w:rPr>
          <w:rFonts w:ascii="Arial" w:hAnsi="Arial" w:cs="Arial"/>
        </w:rPr>
        <w:t xml:space="preserve">Na portálu </w:t>
      </w:r>
      <w:proofErr w:type="spellStart"/>
      <w:r w:rsidR="0019733E" w:rsidRPr="005D491C">
        <w:rPr>
          <w:rFonts w:ascii="Arial" w:hAnsi="Arial" w:cs="Arial"/>
        </w:rPr>
        <w:t>Euroskop</w:t>
      </w:r>
      <w:proofErr w:type="spellEnd"/>
      <w:r w:rsidR="0019733E" w:rsidRPr="005D491C">
        <w:rPr>
          <w:rFonts w:ascii="Arial" w:hAnsi="Arial" w:cs="Arial"/>
        </w:rPr>
        <w:t xml:space="preserve"> vznikla rubrik</w:t>
      </w:r>
      <w:r w:rsidR="00D71A25" w:rsidRPr="005D491C">
        <w:rPr>
          <w:rFonts w:ascii="Arial" w:hAnsi="Arial" w:cs="Arial"/>
        </w:rPr>
        <w:t>a věnovaná informacím o českém</w:t>
      </w:r>
      <w:r w:rsidR="0019733E" w:rsidRPr="005D491C">
        <w:rPr>
          <w:rFonts w:ascii="Arial" w:hAnsi="Arial" w:cs="Arial"/>
        </w:rPr>
        <w:t xml:space="preserve"> předsednictví</w:t>
      </w:r>
      <w:r w:rsidR="00D71A25" w:rsidRPr="005D491C">
        <w:rPr>
          <w:rFonts w:ascii="Arial" w:hAnsi="Arial" w:cs="Arial"/>
        </w:rPr>
        <w:t xml:space="preserve"> </w:t>
      </w:r>
      <w:r w:rsidR="005E758A">
        <w:rPr>
          <w:rFonts w:ascii="Arial" w:hAnsi="Arial" w:cs="Arial"/>
        </w:rPr>
        <w:t xml:space="preserve">v Radě </w:t>
      </w:r>
      <w:r w:rsidR="00D71A25" w:rsidRPr="005D491C">
        <w:rPr>
          <w:rFonts w:ascii="Arial" w:hAnsi="Arial" w:cs="Arial"/>
        </w:rPr>
        <w:t>EU a jeho přípravách</w:t>
      </w:r>
      <w:r w:rsidR="0019733E" w:rsidRPr="005D491C">
        <w:rPr>
          <w:rFonts w:ascii="Arial" w:hAnsi="Arial" w:cs="Arial"/>
        </w:rPr>
        <w:t>. Kromě aktuálních informací nabízí možnost zájemcům požádat o záštitu pro svou akci, která se bude konat v</w:t>
      </w:r>
      <w:r w:rsidR="005E758A">
        <w:rPr>
          <w:rFonts w:ascii="Arial" w:hAnsi="Arial" w:cs="Arial"/>
        </w:rPr>
        <w:t> době českého předsednictví v Radě</w:t>
      </w:r>
      <w:r w:rsidR="00D71A25" w:rsidRPr="005D491C">
        <w:rPr>
          <w:rFonts w:ascii="Arial" w:hAnsi="Arial" w:cs="Arial"/>
        </w:rPr>
        <w:t xml:space="preserve"> EU</w:t>
      </w:r>
      <w:r w:rsidR="0019733E" w:rsidRPr="005D491C">
        <w:rPr>
          <w:rFonts w:ascii="Arial" w:hAnsi="Arial" w:cs="Arial"/>
        </w:rPr>
        <w:t xml:space="preserve">. </w:t>
      </w:r>
      <w:r w:rsidRPr="005D491C">
        <w:rPr>
          <w:rFonts w:ascii="Arial" w:hAnsi="Arial" w:cs="Arial"/>
        </w:rPr>
        <w:t xml:space="preserve"> </w:t>
      </w:r>
    </w:p>
    <w:p w14:paraId="1D867140" w14:textId="58302537" w:rsidR="005207DE" w:rsidRDefault="00190456" w:rsidP="000A4563">
      <w:pPr>
        <w:jc w:val="both"/>
        <w:rPr>
          <w:rFonts w:ascii="Arial" w:hAnsi="Arial" w:cs="Arial"/>
        </w:rPr>
      </w:pPr>
      <w:r w:rsidRPr="005D491C">
        <w:rPr>
          <w:rFonts w:ascii="Arial" w:hAnsi="Arial" w:cs="Arial"/>
        </w:rPr>
        <w:t xml:space="preserve">Zkušeností získaných v roce 2021 bude využito při činnosti </w:t>
      </w:r>
      <w:r w:rsidR="00637665" w:rsidRPr="005D491C">
        <w:rPr>
          <w:rFonts w:ascii="Arial" w:hAnsi="Arial" w:cs="Arial"/>
        </w:rPr>
        <w:t xml:space="preserve">Odboru komunikace o evropských záležitostech </w:t>
      </w:r>
      <w:r w:rsidRPr="005D491C">
        <w:rPr>
          <w:rFonts w:ascii="Arial" w:hAnsi="Arial" w:cs="Arial"/>
        </w:rPr>
        <w:t>v dalších letech, včetně komunikace blížícího se předsednictví ČR v Radě EU.</w:t>
      </w:r>
    </w:p>
    <w:p w14:paraId="4A10A571" w14:textId="77777777" w:rsidR="005207DE" w:rsidRDefault="00520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8C62D7" w14:textId="61D904FA" w:rsidR="005207DE" w:rsidRDefault="005207DE" w:rsidP="005207DE">
      <w:pPr>
        <w:pStyle w:val="Nadpis1"/>
        <w:spacing w:before="0"/>
      </w:pPr>
      <w:bookmarkStart w:id="13" w:name="_Toc63433896"/>
      <w:r>
        <w:lastRenderedPageBreak/>
        <w:t>4. Na co se zaměříme v roce 202</w:t>
      </w:r>
      <w:r w:rsidR="006B6C60">
        <w:t>2</w:t>
      </w:r>
      <w:r>
        <w:t>?</w:t>
      </w:r>
      <w:bookmarkEnd w:id="13"/>
    </w:p>
    <w:p w14:paraId="3EA9E2A0" w14:textId="07B8CD61" w:rsidR="005207DE" w:rsidRDefault="00C507B0" w:rsidP="00C507B0">
      <w:pPr>
        <w:spacing w:after="120"/>
        <w:jc w:val="both"/>
        <w:rPr>
          <w:rFonts w:ascii="Arial" w:hAnsi="Arial" w:cs="Arial"/>
        </w:rPr>
      </w:pPr>
      <w:r w:rsidRPr="002900BE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7EE7" wp14:editId="450C65EC">
                <wp:simplePos x="0" y="0"/>
                <wp:positionH relativeFrom="margin">
                  <wp:align>right</wp:align>
                </wp:positionH>
                <wp:positionV relativeFrom="paragraph">
                  <wp:posOffset>1257300</wp:posOffset>
                </wp:positionV>
                <wp:extent cx="5724525" cy="3914775"/>
                <wp:effectExtent l="19050" t="19050" r="28575" b="28575"/>
                <wp:wrapTopAndBottom/>
                <wp:docPr id="2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3914775"/>
                        </a:xfrm>
                        <a:prstGeom prst="rect">
                          <a:avLst/>
                        </a:prstGeom>
                        <a:noFill/>
                        <a:ln w="34925" cap="sq" cmpd="thickThin">
                          <a:solidFill>
                            <a:srgbClr val="284C96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CA2EC" w14:textId="6E1A32BB" w:rsidR="005207DE" w:rsidRPr="006E70B1" w:rsidRDefault="005207DE" w:rsidP="005207DE">
                            <w:pPr>
                              <w:pStyle w:val="Odstavecseseznamem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84C9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84C96"/>
                                <w:sz w:val="24"/>
                              </w:rPr>
                              <w:t>Komunikační priority p</w:t>
                            </w:r>
                            <w:r w:rsidRPr="006E70B1">
                              <w:rPr>
                                <w:rFonts w:ascii="Arial" w:hAnsi="Arial" w:cs="Arial"/>
                                <w:b/>
                                <w:color w:val="284C96"/>
                                <w:sz w:val="24"/>
                              </w:rPr>
                              <w:t xml:space="preserve">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84C96"/>
                                <w:sz w:val="24"/>
                              </w:rPr>
                              <w:t>rok 2022</w:t>
                            </w:r>
                          </w:p>
                          <w:p w14:paraId="1B63031D" w14:textId="77777777" w:rsidR="005207DE" w:rsidRPr="00BE22A9" w:rsidRDefault="005207DE" w:rsidP="005207DE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E22A9">
                              <w:rPr>
                                <w:rFonts w:ascii="Arial" w:hAnsi="Arial" w:cs="Arial"/>
                              </w:rPr>
                              <w:t>V rámci cíle „Mír a bezpečnost“</w:t>
                            </w:r>
                          </w:p>
                          <w:p w14:paraId="407B3F09" w14:textId="01DF7ED7" w:rsidR="005207DE" w:rsidRPr="00BE22A9" w:rsidRDefault="005207DE" w:rsidP="005207DE">
                            <w:pPr>
                              <w:pStyle w:val="Odstavecseseznamem"/>
                              <w:numPr>
                                <w:ilvl w:val="1"/>
                                <w:numId w:val="39"/>
                              </w:numPr>
                              <w:spacing w:after="120"/>
                              <w:ind w:left="567" w:hanging="283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207DE">
                              <w:rPr>
                                <w:rFonts w:ascii="Arial" w:hAnsi="Arial" w:cs="Arial"/>
                                <w:b/>
                              </w:rPr>
                              <w:t xml:space="preserve">Bezpečnost Unie </w:t>
                            </w:r>
                            <w:r w:rsidRPr="003E1D7F">
                              <w:rPr>
                                <w:rFonts w:ascii="Arial" w:hAnsi="Arial" w:cs="Arial"/>
                              </w:rPr>
                              <w:t>(vč. vnějš</w:t>
                            </w:r>
                            <w:r w:rsidR="003E1D7F" w:rsidRPr="003E1D7F">
                              <w:rPr>
                                <w:rFonts w:ascii="Arial" w:hAnsi="Arial" w:cs="Arial"/>
                              </w:rPr>
                              <w:t xml:space="preserve">ích vztahů, hybridních hrozeb, </w:t>
                            </w:r>
                            <w:r w:rsidRPr="003E1D7F">
                              <w:rPr>
                                <w:rFonts w:ascii="Arial" w:hAnsi="Arial" w:cs="Arial"/>
                              </w:rPr>
                              <w:t>kybernetické bezpečnosti</w:t>
                            </w:r>
                            <w:r w:rsidR="003E1D7F" w:rsidRPr="003E1D7F">
                              <w:rPr>
                                <w:rFonts w:ascii="Arial" w:hAnsi="Arial" w:cs="Arial"/>
                              </w:rPr>
                              <w:t>, odolnosti a spolupráce EU a NATO</w:t>
                            </w:r>
                            <w:r w:rsidRPr="003E1D7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532E0B65" w14:textId="77777777" w:rsidR="005207DE" w:rsidRPr="00BE22A9" w:rsidRDefault="005207DE" w:rsidP="005207DE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E22A9">
                              <w:rPr>
                                <w:rFonts w:ascii="Arial" w:hAnsi="Arial" w:cs="Arial"/>
                              </w:rPr>
                              <w:t>V rámci cíle „Hospodářský rozvoj“</w:t>
                            </w:r>
                          </w:p>
                          <w:p w14:paraId="2877F457" w14:textId="75D22C83" w:rsidR="005207DE" w:rsidRPr="00872ECC" w:rsidRDefault="00872ECC" w:rsidP="005207DE">
                            <w:pPr>
                              <w:pStyle w:val="Odstavecseseznamem"/>
                              <w:numPr>
                                <w:ilvl w:val="4"/>
                                <w:numId w:val="39"/>
                              </w:numPr>
                              <w:spacing w:after="120"/>
                              <w:ind w:left="567" w:hanging="283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ECC">
                              <w:rPr>
                                <w:rFonts w:ascii="Arial" w:hAnsi="Arial" w:cs="Arial"/>
                                <w:b/>
                              </w:rPr>
                              <w:t xml:space="preserve">Evropská dvojí </w:t>
                            </w:r>
                            <w:proofErr w:type="spellStart"/>
                            <w:r w:rsidRPr="00872ECC">
                              <w:rPr>
                                <w:rFonts w:ascii="Arial" w:hAnsi="Arial" w:cs="Arial"/>
                                <w:b/>
                              </w:rPr>
                              <w:t>tranzice</w:t>
                            </w:r>
                            <w:proofErr w:type="spellEnd"/>
                            <w:r w:rsidRPr="00872E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72ECC">
                              <w:rPr>
                                <w:rFonts w:ascii="Arial" w:hAnsi="Arial" w:cs="Arial"/>
                              </w:rPr>
                              <w:t xml:space="preserve">(iniciativy v rámci zelené obnovy a digitální transformace, Národní plán obnovy, boj proti pandemii a jejím důsledkům, prohlubování vnitřního trhu, budoucnost evropské energetiky, dopady </w:t>
                            </w:r>
                            <w:proofErr w:type="spellStart"/>
                            <w:r w:rsidRPr="00872ECC">
                              <w:rPr>
                                <w:rFonts w:ascii="Arial" w:hAnsi="Arial" w:cs="Arial"/>
                              </w:rPr>
                              <w:t>brexitu</w:t>
                            </w:r>
                            <w:proofErr w:type="spellEnd"/>
                            <w:r w:rsidRPr="00872EC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1CE56E7F" w14:textId="47ABBE6F" w:rsidR="005207DE" w:rsidRPr="00872ECC" w:rsidRDefault="00872ECC" w:rsidP="005207DE">
                            <w:pPr>
                              <w:pStyle w:val="Odstavecseseznamem"/>
                              <w:numPr>
                                <w:ilvl w:val="4"/>
                                <w:numId w:val="39"/>
                              </w:numPr>
                              <w:spacing w:after="120"/>
                              <w:ind w:left="567" w:hanging="283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ECC">
                              <w:rPr>
                                <w:rFonts w:ascii="Arial" w:hAnsi="Arial" w:cs="Arial"/>
                                <w:b/>
                              </w:rPr>
                              <w:t>Evropské fondy a přímo řízené programy</w:t>
                            </w:r>
                          </w:p>
                          <w:p w14:paraId="28CCBD27" w14:textId="77777777" w:rsidR="005207DE" w:rsidRPr="00BE22A9" w:rsidRDefault="005207DE" w:rsidP="005207DE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E22A9">
                              <w:rPr>
                                <w:rFonts w:ascii="Arial" w:hAnsi="Arial" w:cs="Arial"/>
                              </w:rPr>
                              <w:t>V rámci cíle „Spravedlnost a solidarita“</w:t>
                            </w:r>
                          </w:p>
                          <w:p w14:paraId="692B9D4E" w14:textId="7F57805F" w:rsidR="005207DE" w:rsidRPr="00BE22A9" w:rsidRDefault="005207DE" w:rsidP="005207DE">
                            <w:pPr>
                              <w:pStyle w:val="Odstavecseseznamem"/>
                              <w:numPr>
                                <w:ilvl w:val="1"/>
                                <w:numId w:val="39"/>
                              </w:numPr>
                              <w:spacing w:after="120"/>
                              <w:ind w:left="567" w:hanging="28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22A9">
                              <w:rPr>
                                <w:rFonts w:ascii="Arial" w:hAnsi="Arial" w:cs="Arial"/>
                                <w:b/>
                              </w:rPr>
                              <w:t xml:space="preserve">Ochrana spotřebitele </w:t>
                            </w:r>
                            <w:r w:rsidR="00872ECC" w:rsidRPr="00BE22A9">
                              <w:rPr>
                                <w:rFonts w:ascii="Arial" w:hAnsi="Arial" w:cs="Arial"/>
                              </w:rPr>
                              <w:t>(včetně práv v digitální oblasti)</w:t>
                            </w:r>
                            <w:r w:rsidR="00872E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93E9AE4" w14:textId="77777777" w:rsidR="005207DE" w:rsidRPr="00BE22A9" w:rsidRDefault="005207DE" w:rsidP="005207DE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E22A9">
                              <w:rPr>
                                <w:rFonts w:ascii="Arial" w:hAnsi="Arial" w:cs="Arial"/>
                              </w:rPr>
                              <w:t>V rámci cíle „Pevné evropské ukotvení ČR“</w:t>
                            </w:r>
                          </w:p>
                          <w:p w14:paraId="01C909B4" w14:textId="70A519DC" w:rsidR="005207DE" w:rsidRPr="00872ECC" w:rsidRDefault="00872ECC" w:rsidP="005207DE">
                            <w:pPr>
                              <w:pStyle w:val="Odstavecseseznamem"/>
                              <w:numPr>
                                <w:ilvl w:val="1"/>
                                <w:numId w:val="39"/>
                              </w:numPr>
                              <w:ind w:left="567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ECC">
                              <w:rPr>
                                <w:rFonts w:ascii="Arial" w:hAnsi="Arial" w:cs="Arial"/>
                                <w:b/>
                              </w:rPr>
                              <w:t xml:space="preserve">Zapojení občanů do Konference o budoucnosti Evropy v kontextu evropského roku mládeže </w:t>
                            </w:r>
                            <w:r w:rsidRPr="00872ECC">
                              <w:rPr>
                                <w:rFonts w:ascii="Arial" w:hAnsi="Arial" w:cs="Arial"/>
                              </w:rPr>
                              <w:t xml:space="preserve">(vč. základních informací o EU a příležitostí pro mladé) </w:t>
                            </w:r>
                          </w:p>
                          <w:p w14:paraId="4648A8FD" w14:textId="621B4EA8" w:rsidR="005207DE" w:rsidRPr="00B9462F" w:rsidRDefault="005207DE" w:rsidP="00406ABF">
                            <w:pPr>
                              <w:pStyle w:val="Odstavecseseznamem"/>
                              <w:numPr>
                                <w:ilvl w:val="1"/>
                                <w:numId w:val="39"/>
                              </w:numPr>
                              <w:ind w:left="567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ECC">
                              <w:rPr>
                                <w:rFonts w:ascii="Arial" w:hAnsi="Arial" w:cs="Arial"/>
                                <w:b/>
                              </w:rPr>
                              <w:t>České předsednictví v Radě EU 202</w:t>
                            </w:r>
                            <w:r w:rsidR="00872ECC" w:rsidRPr="00872EC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27EE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99.55pt;margin-top:99pt;width:450.75pt;height:30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iBvgIAANwFAAAOAAAAZHJzL2Uyb0RvYy54bWysVM1uGjEQvlfqO1i+NwsUEoKyRJQoVSWU&#10;RA1VzsZrgxXb49oGlr5Rn6Mv1rF3+UnaS6pyMOP1N//fzNV1bTTZCB8U2JJ2zzqUCMuhUnZZ0m/z&#10;2w9DSkJktmIarCjpTgR6PX7/7mrrRqIHK9CV8ASN2DDaupKuYnSjogh8JQwLZ+CExUcJ3rCIV78s&#10;Ks+2aN3ootfpnBdb8JXzwEUI+PWmeaTjbF9KweO9lEFEokuKscV8+nwu0lmMr9ho6ZlbKd6Gwf4h&#10;CsOURacHUzcsMrL26g9TRnEPAWQ842AKkFJxkXPAbLqdV9k8rpgTORcsTnCHMoX/Z5bfbR48UVVJ&#10;e5RYZrBFc1FH2Pz6SRxoQfqpRFsXRoh8dIiN9SeosdU53eBmwJ8DQooTTKMQEJ1KUktv0j8mS1AR&#10;u7A7VB5dEY4fBxe9/qA3oITj28fLbv/iYpAcF0d150P8LMCQJJTUY2tzCGwzC7GB7iHJm4VbpTV+&#10;ZyNtyRat9i+zA4YsC9/Rk3GYdcS+P89XbfcCaFUlvaQW/HIx1Z5sGHKnN+xPL8/bkF7AjIrIYK1M&#10;SYed9GtB2iYjInOwjTCVqKlKluJOiya+r0JiD3JxsufEfnHwzTgXNnYPdhGdUBLjfItiiz9G9Rbl&#10;Jo+9Z7DxoGyUBd+Q4WXY1fM+ZNngW5KEJu9UglgvamxREhdQ7ZBdHpoRDY7fKmz0jIX4wDzOJPIG&#10;90y8x0NqwIZCK1GyAv/jb98THkcFXynZ4oynxq+ZF5ToLxaHCHnWT0shX/rIQbz405fF6Ytdmykg&#10;Fbq40RzPYsJHvRelB/OE62iSvOITsxx9I8f24jQ2mwfXGReTSQbhGnAszuyj4/uhSjSe10/Mu5br&#10;EcfkDvbbgI1eUb7Bpr5amKwjSJXn4VjVtvC4QvJEtesu7ajTe0Ydl/L4NwAAAP//AwBQSwMEFAAG&#10;AAgAAAAhAHhxIDPgAAAACAEAAA8AAABkcnMvZG93bnJldi54bWxMj0FLw0AQhe+C/2EZwZvdRNqS&#10;xmxKFSqIB2m1UG+b7JgEs7Nhd5tGf73jSW8z8x5vvlesJ9uLEX3oHClIZwkIpNqZjhoFb6/bmwxE&#10;iJqM7h2hgi8MsC4vLwqdG3emHY772AgOoZBrBW2MQy5lqFu0OszcgMTah/NWR159I43XZw63vbxN&#10;kqW0uiP+0OoBH1qsP/cnq+D7+DKvlv7p/pm2B3occUi7zbtS11fT5g5ExCn+meEXn9GhZKbKncgE&#10;0SvgIpGvq4wHlldJugBRKcjS+QJkWcj/BcofAAAA//8DAFBLAQItABQABgAIAAAAIQC2gziS/gAA&#10;AOEBAAATAAAAAAAAAAAAAAAAAAAAAABbQ29udGVudF9UeXBlc10ueG1sUEsBAi0AFAAGAAgAAAAh&#10;ADj9If/WAAAAlAEAAAsAAAAAAAAAAAAAAAAALwEAAF9yZWxzLy5yZWxzUEsBAi0AFAAGAAgAAAAh&#10;AEKZiIG+AgAA3AUAAA4AAAAAAAAAAAAAAAAALgIAAGRycy9lMm9Eb2MueG1sUEsBAi0AFAAGAAgA&#10;AAAhAHhxIDPgAAAACAEAAA8AAAAAAAAAAAAAAAAAGAUAAGRycy9kb3ducmV2LnhtbFBLBQYAAAAA&#10;BAAEAPMAAAAlBgAAAAA=&#10;" filled="f" strokecolor="#284c96" strokeweight="2.75pt">
                <v:stroke linestyle="thickThin" endcap="square"/>
                <v:path arrowok="t"/>
                <v:textbox>
                  <w:txbxContent>
                    <w:p w14:paraId="30DCA2EC" w14:textId="6E1A32BB" w:rsidR="005207DE" w:rsidRPr="006E70B1" w:rsidRDefault="005207DE" w:rsidP="005207DE">
                      <w:pPr>
                        <w:pStyle w:val="Odstavecseseznamem"/>
                        <w:spacing w:after="120"/>
                        <w:ind w:left="0"/>
                        <w:contextualSpacing w:val="0"/>
                        <w:jc w:val="center"/>
                        <w:rPr>
                          <w:rFonts w:ascii="Arial" w:hAnsi="Arial" w:cs="Arial"/>
                          <w:b/>
                          <w:color w:val="284C9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84C96"/>
                          <w:sz w:val="24"/>
                        </w:rPr>
                        <w:t>Komunikační priority p</w:t>
                      </w:r>
                      <w:r w:rsidRPr="006E70B1">
                        <w:rPr>
                          <w:rFonts w:ascii="Arial" w:hAnsi="Arial" w:cs="Arial"/>
                          <w:b/>
                          <w:color w:val="284C96"/>
                          <w:sz w:val="24"/>
                        </w:rPr>
                        <w:t xml:space="preserve">ro </w:t>
                      </w:r>
                      <w:r>
                        <w:rPr>
                          <w:rFonts w:ascii="Arial" w:hAnsi="Arial" w:cs="Arial"/>
                          <w:b/>
                          <w:color w:val="284C96"/>
                          <w:sz w:val="24"/>
                        </w:rPr>
                        <w:t>rok 2022</w:t>
                      </w:r>
                    </w:p>
                    <w:p w14:paraId="1B63031D" w14:textId="77777777" w:rsidR="005207DE" w:rsidRPr="00BE22A9" w:rsidRDefault="005207DE" w:rsidP="005207DE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12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BE22A9">
                        <w:rPr>
                          <w:rFonts w:ascii="Arial" w:hAnsi="Arial" w:cs="Arial"/>
                        </w:rPr>
                        <w:t>V rámci cíle „Mír a bezpečnost“</w:t>
                      </w:r>
                    </w:p>
                    <w:p w14:paraId="407B3F09" w14:textId="01DF7ED7" w:rsidR="005207DE" w:rsidRPr="00BE22A9" w:rsidRDefault="005207DE" w:rsidP="005207DE">
                      <w:pPr>
                        <w:pStyle w:val="Odstavecseseznamem"/>
                        <w:numPr>
                          <w:ilvl w:val="1"/>
                          <w:numId w:val="39"/>
                        </w:numPr>
                        <w:spacing w:after="120"/>
                        <w:ind w:left="567" w:hanging="283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5207DE">
                        <w:rPr>
                          <w:rFonts w:ascii="Arial" w:hAnsi="Arial" w:cs="Arial"/>
                          <w:b/>
                        </w:rPr>
                        <w:t xml:space="preserve">Bezpečnost Unie </w:t>
                      </w:r>
                      <w:r w:rsidRPr="003E1D7F">
                        <w:rPr>
                          <w:rFonts w:ascii="Arial" w:hAnsi="Arial" w:cs="Arial"/>
                        </w:rPr>
                        <w:t>(vč. vnějš</w:t>
                      </w:r>
                      <w:r w:rsidR="003E1D7F" w:rsidRPr="003E1D7F">
                        <w:rPr>
                          <w:rFonts w:ascii="Arial" w:hAnsi="Arial" w:cs="Arial"/>
                        </w:rPr>
                        <w:t xml:space="preserve">ích vztahů, hybridních hrozeb, </w:t>
                      </w:r>
                      <w:r w:rsidRPr="003E1D7F">
                        <w:rPr>
                          <w:rFonts w:ascii="Arial" w:hAnsi="Arial" w:cs="Arial"/>
                        </w:rPr>
                        <w:t>kybernetické bezpečnosti</w:t>
                      </w:r>
                      <w:r w:rsidR="003E1D7F" w:rsidRPr="003E1D7F">
                        <w:rPr>
                          <w:rFonts w:ascii="Arial" w:hAnsi="Arial" w:cs="Arial"/>
                        </w:rPr>
                        <w:t>, odolnosti a spolupráce EU a NATO</w:t>
                      </w:r>
                      <w:r w:rsidRPr="003E1D7F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532E0B65" w14:textId="77777777" w:rsidR="005207DE" w:rsidRPr="00BE22A9" w:rsidRDefault="005207DE" w:rsidP="005207DE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12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BE22A9">
                        <w:rPr>
                          <w:rFonts w:ascii="Arial" w:hAnsi="Arial" w:cs="Arial"/>
                        </w:rPr>
                        <w:t>V rámci cíle „Hospodářský rozvoj“</w:t>
                      </w:r>
                    </w:p>
                    <w:p w14:paraId="2877F457" w14:textId="75D22C83" w:rsidR="005207DE" w:rsidRPr="00872ECC" w:rsidRDefault="00872ECC" w:rsidP="005207DE">
                      <w:pPr>
                        <w:pStyle w:val="Odstavecseseznamem"/>
                        <w:numPr>
                          <w:ilvl w:val="4"/>
                          <w:numId w:val="39"/>
                        </w:numPr>
                        <w:spacing w:after="120"/>
                        <w:ind w:left="567" w:hanging="283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872ECC">
                        <w:rPr>
                          <w:rFonts w:ascii="Arial" w:hAnsi="Arial" w:cs="Arial"/>
                          <w:b/>
                        </w:rPr>
                        <w:t xml:space="preserve">Evropská dvojí </w:t>
                      </w:r>
                      <w:proofErr w:type="spellStart"/>
                      <w:r w:rsidRPr="00872ECC">
                        <w:rPr>
                          <w:rFonts w:ascii="Arial" w:hAnsi="Arial" w:cs="Arial"/>
                          <w:b/>
                        </w:rPr>
                        <w:t>tranzice</w:t>
                      </w:r>
                      <w:proofErr w:type="spellEnd"/>
                      <w:r w:rsidRPr="00872E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72ECC">
                        <w:rPr>
                          <w:rFonts w:ascii="Arial" w:hAnsi="Arial" w:cs="Arial"/>
                        </w:rPr>
                        <w:t xml:space="preserve">(iniciativy v rámci zelené obnovy a digitální transformace, Národní plán obnovy, boj proti pandemii a jejím důsledkům, prohlubování vnitřního trhu, budoucnost evropské energetiky, dopady </w:t>
                      </w:r>
                      <w:proofErr w:type="spellStart"/>
                      <w:r w:rsidRPr="00872ECC">
                        <w:rPr>
                          <w:rFonts w:ascii="Arial" w:hAnsi="Arial" w:cs="Arial"/>
                        </w:rPr>
                        <w:t>brexitu</w:t>
                      </w:r>
                      <w:proofErr w:type="spellEnd"/>
                      <w:r w:rsidRPr="00872EC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1CE56E7F" w14:textId="47ABBE6F" w:rsidR="005207DE" w:rsidRPr="00872ECC" w:rsidRDefault="00872ECC" w:rsidP="005207DE">
                      <w:pPr>
                        <w:pStyle w:val="Odstavecseseznamem"/>
                        <w:numPr>
                          <w:ilvl w:val="4"/>
                          <w:numId w:val="39"/>
                        </w:numPr>
                        <w:spacing w:after="120"/>
                        <w:ind w:left="567" w:hanging="283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872ECC">
                        <w:rPr>
                          <w:rFonts w:ascii="Arial" w:hAnsi="Arial" w:cs="Arial"/>
                          <w:b/>
                        </w:rPr>
                        <w:t>Evropské fondy a přímo řízené programy</w:t>
                      </w:r>
                    </w:p>
                    <w:p w14:paraId="28CCBD27" w14:textId="77777777" w:rsidR="005207DE" w:rsidRPr="00BE22A9" w:rsidRDefault="005207DE" w:rsidP="005207DE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12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BE22A9">
                        <w:rPr>
                          <w:rFonts w:ascii="Arial" w:hAnsi="Arial" w:cs="Arial"/>
                        </w:rPr>
                        <w:t>V rámci cíle „Spravedlnost a solidarita“</w:t>
                      </w:r>
                    </w:p>
                    <w:p w14:paraId="692B9D4E" w14:textId="7F57805F" w:rsidR="005207DE" w:rsidRPr="00BE22A9" w:rsidRDefault="005207DE" w:rsidP="005207DE">
                      <w:pPr>
                        <w:pStyle w:val="Odstavecseseznamem"/>
                        <w:numPr>
                          <w:ilvl w:val="1"/>
                          <w:numId w:val="39"/>
                        </w:numPr>
                        <w:spacing w:after="120"/>
                        <w:ind w:left="567" w:hanging="283"/>
                        <w:contextualSpacing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E22A9">
                        <w:rPr>
                          <w:rFonts w:ascii="Arial" w:hAnsi="Arial" w:cs="Arial"/>
                          <w:b/>
                        </w:rPr>
                        <w:t xml:space="preserve">Ochrana spotřebitele </w:t>
                      </w:r>
                      <w:r w:rsidR="00872ECC" w:rsidRPr="00BE22A9">
                        <w:rPr>
                          <w:rFonts w:ascii="Arial" w:hAnsi="Arial" w:cs="Arial"/>
                        </w:rPr>
                        <w:t>(včetně práv v digitální oblasti)</w:t>
                      </w:r>
                      <w:r w:rsidR="00872E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93E9AE4" w14:textId="77777777" w:rsidR="005207DE" w:rsidRPr="00BE22A9" w:rsidRDefault="005207DE" w:rsidP="005207DE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12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BE22A9">
                        <w:rPr>
                          <w:rFonts w:ascii="Arial" w:hAnsi="Arial" w:cs="Arial"/>
                        </w:rPr>
                        <w:t>V rámci cíle „Pevné evropské ukotvení ČR“</w:t>
                      </w:r>
                    </w:p>
                    <w:p w14:paraId="01C909B4" w14:textId="70A519DC" w:rsidR="005207DE" w:rsidRPr="00872ECC" w:rsidRDefault="00872ECC" w:rsidP="005207DE">
                      <w:pPr>
                        <w:pStyle w:val="Odstavecseseznamem"/>
                        <w:numPr>
                          <w:ilvl w:val="1"/>
                          <w:numId w:val="39"/>
                        </w:numPr>
                        <w:ind w:left="567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872ECC">
                        <w:rPr>
                          <w:rFonts w:ascii="Arial" w:hAnsi="Arial" w:cs="Arial"/>
                          <w:b/>
                        </w:rPr>
                        <w:t xml:space="preserve">Zapojení občanů do Konference o budoucnosti Evropy v kontextu evropského roku mládeže </w:t>
                      </w:r>
                      <w:r w:rsidRPr="00872ECC">
                        <w:rPr>
                          <w:rFonts w:ascii="Arial" w:hAnsi="Arial" w:cs="Arial"/>
                        </w:rPr>
                        <w:t xml:space="preserve">(vč. základních informací o EU a příležitostí pro mladé) </w:t>
                      </w:r>
                    </w:p>
                    <w:p w14:paraId="4648A8FD" w14:textId="621B4EA8" w:rsidR="005207DE" w:rsidRPr="00B9462F" w:rsidRDefault="005207DE" w:rsidP="00406ABF">
                      <w:pPr>
                        <w:pStyle w:val="Odstavecseseznamem"/>
                        <w:numPr>
                          <w:ilvl w:val="1"/>
                          <w:numId w:val="39"/>
                        </w:numPr>
                        <w:ind w:left="567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872ECC">
                        <w:rPr>
                          <w:rFonts w:ascii="Arial" w:hAnsi="Arial" w:cs="Arial"/>
                          <w:b/>
                        </w:rPr>
                        <w:t>České předsednictví v Radě EU 202</w:t>
                      </w:r>
                      <w:r w:rsidR="00872ECC" w:rsidRPr="00872ECC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07DE" w:rsidRPr="0069106F">
        <w:rPr>
          <w:rFonts w:ascii="Arial" w:hAnsi="Arial" w:cs="Arial"/>
        </w:rPr>
        <w:t xml:space="preserve">Cíle Koncepce politiky ČR v EU budou komunikovány v roce </w:t>
      </w:r>
      <w:r w:rsidR="005207DE">
        <w:rPr>
          <w:rFonts w:ascii="Arial" w:hAnsi="Arial" w:cs="Arial"/>
        </w:rPr>
        <w:t>2022</w:t>
      </w:r>
      <w:r w:rsidR="005207DE" w:rsidRPr="0069106F">
        <w:rPr>
          <w:rFonts w:ascii="Arial" w:hAnsi="Arial" w:cs="Arial"/>
        </w:rPr>
        <w:t xml:space="preserve"> prostřednictvím konkrétních tematicky zaměřených komunikačních priorit, které zohlední akt</w:t>
      </w:r>
      <w:r w:rsidR="005207DE">
        <w:rPr>
          <w:rFonts w:ascii="Arial" w:hAnsi="Arial" w:cs="Arial"/>
        </w:rPr>
        <w:t xml:space="preserve">uální vývoj evropské integrace i </w:t>
      </w:r>
      <w:r w:rsidR="005207DE" w:rsidRPr="0069106F">
        <w:rPr>
          <w:rFonts w:ascii="Arial" w:hAnsi="Arial" w:cs="Arial"/>
        </w:rPr>
        <w:t xml:space="preserve">situaci v rámci České republiky. </w:t>
      </w:r>
      <w:r w:rsidR="005207DE">
        <w:rPr>
          <w:rFonts w:ascii="Arial" w:hAnsi="Arial" w:cs="Arial"/>
        </w:rPr>
        <w:t>Formulace komunikačních priorit pro rok 2022 odráží změny, které vyvolala pandemie covid</w:t>
      </w:r>
      <w:r w:rsidR="006B6C60">
        <w:rPr>
          <w:rFonts w:ascii="Arial" w:hAnsi="Arial" w:cs="Arial"/>
        </w:rPr>
        <w:t>u</w:t>
      </w:r>
      <w:r w:rsidR="005207DE">
        <w:rPr>
          <w:rFonts w:ascii="Arial" w:hAnsi="Arial" w:cs="Arial"/>
        </w:rPr>
        <w:t>-19 a reakce na ní</w:t>
      </w:r>
      <w:r w:rsidR="005207DE" w:rsidRPr="0069106F">
        <w:rPr>
          <w:rFonts w:ascii="Arial" w:hAnsi="Arial" w:cs="Arial"/>
        </w:rPr>
        <w:t>.</w:t>
      </w:r>
      <w:r w:rsidR="005207DE">
        <w:rPr>
          <w:rFonts w:ascii="Arial" w:hAnsi="Arial" w:cs="Arial"/>
        </w:rPr>
        <w:t xml:space="preserve"> Zároveň bude kladen důraz na hospodářskou obnovu v kontextu zelené a digitální transformace</w:t>
      </w:r>
      <w:r w:rsidR="006B6C60">
        <w:rPr>
          <w:rFonts w:ascii="Arial" w:hAnsi="Arial" w:cs="Arial"/>
        </w:rPr>
        <w:t xml:space="preserve"> a přípravy a průběh českého předsednictví </w:t>
      </w:r>
      <w:r w:rsidR="005E758A">
        <w:rPr>
          <w:rFonts w:ascii="Arial" w:hAnsi="Arial" w:cs="Arial"/>
        </w:rPr>
        <w:t xml:space="preserve">v </w:t>
      </w:r>
      <w:bookmarkStart w:id="14" w:name="_Toc63433897"/>
      <w:r w:rsidR="005E758A">
        <w:rPr>
          <w:rFonts w:ascii="Arial" w:hAnsi="Arial" w:cs="Arial"/>
        </w:rPr>
        <w:t>Radě</w:t>
      </w:r>
      <w:r w:rsidR="006B6C60">
        <w:rPr>
          <w:rFonts w:ascii="Arial" w:hAnsi="Arial" w:cs="Arial"/>
        </w:rPr>
        <w:t>.</w:t>
      </w:r>
    </w:p>
    <w:p w14:paraId="1667F6CF" w14:textId="42E592C0" w:rsidR="005207DE" w:rsidRPr="00E569B4" w:rsidRDefault="00E569B4" w:rsidP="005207DE">
      <w:pPr>
        <w:pStyle w:val="Nadpis1"/>
        <w:pBdr>
          <w:bottom w:val="none" w:sz="0" w:space="0" w:color="auto"/>
        </w:pBdr>
        <w:spacing w:before="360" w:after="120"/>
        <w:rPr>
          <w:rFonts w:ascii="Arial" w:hAnsi="Arial" w:cs="Arial"/>
          <w:b w:val="0"/>
          <w:sz w:val="22"/>
          <w:szCs w:val="22"/>
        </w:rPr>
      </w:pPr>
      <w:r w:rsidRPr="00E569B4">
        <w:rPr>
          <w:rFonts w:ascii="Arial" w:hAnsi="Arial" w:cs="Arial"/>
          <w:sz w:val="22"/>
          <w:szCs w:val="22"/>
        </w:rPr>
        <w:t xml:space="preserve">Bezpečnost Unie </w:t>
      </w:r>
      <w:bookmarkEnd w:id="14"/>
    </w:p>
    <w:p w14:paraId="11E6E5E5" w14:textId="697BF9EE" w:rsidR="00E569B4" w:rsidRPr="00E569B4" w:rsidRDefault="00E569B4" w:rsidP="00E569B4">
      <w:pPr>
        <w:spacing w:before="120"/>
        <w:jc w:val="both"/>
        <w:rPr>
          <w:rFonts w:ascii="Arial" w:hAnsi="Arial" w:cs="Arial"/>
        </w:rPr>
      </w:pPr>
      <w:r w:rsidRPr="00E569B4">
        <w:rPr>
          <w:rFonts w:ascii="Arial" w:hAnsi="Arial" w:cs="Arial"/>
        </w:rPr>
        <w:t>Bezpečnostní prostředí na prahu třetí dekády třetího tisíciletí je charakterizováno rostoucím napětím a rivalitou vyplývajících z globálního soupeření velmocí. E</w:t>
      </w:r>
      <w:r w:rsidR="003E1D7F">
        <w:rPr>
          <w:rFonts w:ascii="Arial" w:hAnsi="Arial" w:cs="Arial"/>
        </w:rPr>
        <w:t xml:space="preserve">vropský kontinent, vedle bezprecedentní agrese ze strany Ruské federace vůči Ukrajině dlouhodobě </w:t>
      </w:r>
      <w:r w:rsidRPr="00E569B4">
        <w:rPr>
          <w:rFonts w:ascii="Arial" w:hAnsi="Arial" w:cs="Arial"/>
        </w:rPr>
        <w:t xml:space="preserve">čelí trendu šíření hrozeb hybridní </w:t>
      </w:r>
      <w:bookmarkStart w:id="15" w:name="_GoBack"/>
      <w:bookmarkEnd w:id="15"/>
      <w:r w:rsidRPr="00E569B4">
        <w:rPr>
          <w:rFonts w:ascii="Arial" w:hAnsi="Arial" w:cs="Arial"/>
        </w:rPr>
        <w:t>povahy, které se vyznačují škodlivým působením a zneužíváním zranitelností s cílem přivodit újmy, aniž by byla formálně vyhlášena válka. Tyto hrozby zahrnují manipulace s</w:t>
      </w:r>
      <w:r w:rsidR="00E744A0">
        <w:rPr>
          <w:rFonts w:ascii="Arial" w:hAnsi="Arial" w:cs="Arial"/>
        </w:rPr>
        <w:t> </w:t>
      </w:r>
      <w:r w:rsidRPr="00E569B4">
        <w:rPr>
          <w:rFonts w:ascii="Arial" w:hAnsi="Arial" w:cs="Arial"/>
        </w:rPr>
        <w:t>informacemi, kybernetické útoky, ekonomický nátlak či zásahy do volebních procesů. Dochází tak k prolínání aspektů vnitřní a vnější bezpečnosti. Pro evropskou obranyschopnost se proto jako nezbytné jeví rozvíjení vzájemně se doplňujících schopností,</w:t>
      </w:r>
      <w:r w:rsidR="003E1D7F">
        <w:rPr>
          <w:rFonts w:ascii="Arial" w:hAnsi="Arial" w:cs="Arial"/>
        </w:rPr>
        <w:t xml:space="preserve"> politik (vč. vznikajícího EU Hybrid </w:t>
      </w:r>
      <w:proofErr w:type="spellStart"/>
      <w:r w:rsidR="003E1D7F">
        <w:rPr>
          <w:rFonts w:ascii="Arial" w:hAnsi="Arial" w:cs="Arial"/>
        </w:rPr>
        <w:t>Toolbox</w:t>
      </w:r>
      <w:proofErr w:type="spellEnd"/>
      <w:r w:rsidR="003E1D7F">
        <w:rPr>
          <w:rFonts w:ascii="Arial" w:hAnsi="Arial" w:cs="Arial"/>
        </w:rPr>
        <w:t xml:space="preserve"> a EU </w:t>
      </w:r>
      <w:proofErr w:type="spellStart"/>
      <w:r w:rsidR="003E1D7F">
        <w:rPr>
          <w:rFonts w:ascii="Arial" w:hAnsi="Arial" w:cs="Arial"/>
        </w:rPr>
        <w:t>Foreign</w:t>
      </w:r>
      <w:proofErr w:type="spellEnd"/>
      <w:r w:rsidR="003E1D7F">
        <w:rPr>
          <w:rFonts w:ascii="Arial" w:hAnsi="Arial" w:cs="Arial"/>
        </w:rPr>
        <w:t xml:space="preserve"> </w:t>
      </w:r>
      <w:proofErr w:type="spellStart"/>
      <w:r w:rsidR="003E1D7F">
        <w:rPr>
          <w:rFonts w:ascii="Arial" w:hAnsi="Arial" w:cs="Arial"/>
        </w:rPr>
        <w:t>Information</w:t>
      </w:r>
      <w:proofErr w:type="spellEnd"/>
      <w:r w:rsidR="003E1D7F">
        <w:rPr>
          <w:rFonts w:ascii="Arial" w:hAnsi="Arial" w:cs="Arial"/>
        </w:rPr>
        <w:t xml:space="preserve"> </w:t>
      </w:r>
      <w:proofErr w:type="spellStart"/>
      <w:r w:rsidR="003E1D7F">
        <w:rPr>
          <w:rFonts w:ascii="Arial" w:hAnsi="Arial" w:cs="Arial"/>
        </w:rPr>
        <w:t>Manipulation</w:t>
      </w:r>
      <w:proofErr w:type="spellEnd"/>
      <w:r w:rsidR="003E1D7F">
        <w:rPr>
          <w:rFonts w:ascii="Arial" w:hAnsi="Arial" w:cs="Arial"/>
        </w:rPr>
        <w:t xml:space="preserve"> </w:t>
      </w:r>
      <w:proofErr w:type="spellStart"/>
      <w:r w:rsidR="003E1D7F">
        <w:rPr>
          <w:rFonts w:ascii="Arial" w:hAnsi="Arial" w:cs="Arial"/>
        </w:rPr>
        <w:t>Toolbox</w:t>
      </w:r>
      <w:proofErr w:type="spellEnd"/>
      <w:r w:rsidR="003E1D7F">
        <w:rPr>
          <w:rFonts w:ascii="Arial" w:hAnsi="Arial" w:cs="Arial"/>
        </w:rPr>
        <w:t xml:space="preserve">), </w:t>
      </w:r>
      <w:r w:rsidRPr="00E569B4">
        <w:rPr>
          <w:rFonts w:ascii="Arial" w:hAnsi="Arial" w:cs="Arial"/>
        </w:rPr>
        <w:t xml:space="preserve"> posilování odolnosti, prohlubování propojení mezi vojenskými a civilními složkami a rovněž i spolupráce s mezinárodními partnery, zejména prostřednictvím Severoatlantické aliance. </w:t>
      </w:r>
      <w:r w:rsidR="003E1D7F">
        <w:rPr>
          <w:rFonts w:ascii="Arial" w:hAnsi="Arial" w:cs="Arial"/>
        </w:rPr>
        <w:t>EU by do budoucna v agendě čelení hybridním hrozbám a posilování odolnosti v evropském prostoru měla mít výrazně vyšší ambice, a to především na podporu systému kolektivní obrany NATO.</w:t>
      </w:r>
    </w:p>
    <w:p w14:paraId="59AE8A71" w14:textId="7D4355E1" w:rsidR="00E569B4" w:rsidRPr="00E569B4" w:rsidRDefault="00E569B4" w:rsidP="00E569B4">
      <w:pPr>
        <w:spacing w:before="120"/>
        <w:jc w:val="both"/>
        <w:rPr>
          <w:rFonts w:ascii="Arial" w:hAnsi="Arial" w:cs="Arial"/>
        </w:rPr>
      </w:pPr>
      <w:r w:rsidRPr="00E569B4">
        <w:rPr>
          <w:rFonts w:ascii="Arial" w:hAnsi="Arial" w:cs="Arial"/>
        </w:rPr>
        <w:lastRenderedPageBreak/>
        <w:t>EU zároveň aspiruje na dosažení strategické autonomie</w:t>
      </w:r>
      <w:r w:rsidR="00C507B0">
        <w:rPr>
          <w:rFonts w:ascii="Arial" w:hAnsi="Arial" w:cs="Arial"/>
        </w:rPr>
        <w:t>, která by ale dle ČR neměla znamenat odtržení od partnerů</w:t>
      </w:r>
      <w:r w:rsidRPr="00E569B4">
        <w:rPr>
          <w:rFonts w:ascii="Arial" w:hAnsi="Arial" w:cs="Arial"/>
        </w:rPr>
        <w:t>. Jedním z důležitých příspěvk</w:t>
      </w:r>
      <w:r w:rsidR="005E758A">
        <w:rPr>
          <w:rFonts w:ascii="Arial" w:hAnsi="Arial" w:cs="Arial"/>
        </w:rPr>
        <w:t>ů</w:t>
      </w:r>
      <w:r w:rsidRPr="00E569B4">
        <w:rPr>
          <w:rFonts w:ascii="Arial" w:hAnsi="Arial" w:cs="Arial"/>
        </w:rPr>
        <w:t xml:space="preserve"> v</w:t>
      </w:r>
      <w:r w:rsidR="00E744A0">
        <w:rPr>
          <w:rFonts w:ascii="Arial" w:hAnsi="Arial" w:cs="Arial"/>
        </w:rPr>
        <w:t> </w:t>
      </w:r>
      <w:r w:rsidRPr="00E569B4">
        <w:rPr>
          <w:rFonts w:ascii="Arial" w:hAnsi="Arial" w:cs="Arial"/>
        </w:rPr>
        <w:t>tomto úsilí je vznik Strategického kompasu, jenž stanovuje konkrétní cíle pro posílení a další rozvoj Společné bezpečnostní a obranné politiky EU v následujících letech.</w:t>
      </w:r>
      <w:r>
        <w:rPr>
          <w:rFonts w:ascii="Arial" w:hAnsi="Arial" w:cs="Arial"/>
        </w:rPr>
        <w:t xml:space="preserve"> </w:t>
      </w:r>
      <w:r w:rsidRPr="00E569B4">
        <w:rPr>
          <w:rFonts w:ascii="Arial" w:hAnsi="Arial" w:cs="Arial"/>
        </w:rPr>
        <w:t xml:space="preserve">Mnoho bezpečnostních hrozeb má přeshraniční charakter a může mít svůj původ mimo území Unie. </w:t>
      </w:r>
    </w:p>
    <w:p w14:paraId="42597DA2" w14:textId="4C24FB6D" w:rsidR="005207DE" w:rsidRPr="00C03F1C" w:rsidRDefault="00E569B4" w:rsidP="005207DE">
      <w:pPr>
        <w:jc w:val="both"/>
        <w:rPr>
          <w:rFonts w:ascii="Arial" w:hAnsi="Arial" w:cs="Arial"/>
        </w:rPr>
      </w:pPr>
      <w:r w:rsidRPr="00E569B4">
        <w:rPr>
          <w:rFonts w:ascii="Arial" w:hAnsi="Arial" w:cs="Arial"/>
        </w:rPr>
        <w:t>Cílovou skupinou komunikace v této prioritě bude zejména široká veřejnost, jíž budou vysvětlovány základní principy Společné bezpečnostní a obranné politiky EU včetně aktuálních návrhů na její posílení. Zároveň bude komunikován i vztah evropské obrany k</w:t>
      </w:r>
      <w:r w:rsidR="00E744A0">
        <w:rPr>
          <w:rFonts w:ascii="Arial" w:hAnsi="Arial" w:cs="Arial"/>
        </w:rPr>
        <w:t> </w:t>
      </w:r>
      <w:r w:rsidRPr="00E569B4">
        <w:rPr>
          <w:rFonts w:ascii="Arial" w:hAnsi="Arial" w:cs="Arial"/>
        </w:rPr>
        <w:t>aktivitám NATO, jakožto komplementárních činností v oblasti obrany a</w:t>
      </w:r>
      <w:r w:rsidR="00E744A0">
        <w:rPr>
          <w:rFonts w:ascii="Arial" w:hAnsi="Arial" w:cs="Arial"/>
        </w:rPr>
        <w:t> </w:t>
      </w:r>
      <w:r w:rsidRPr="00E569B4">
        <w:rPr>
          <w:rFonts w:ascii="Arial" w:hAnsi="Arial" w:cs="Arial"/>
        </w:rPr>
        <w:t>bezpečnosti. V rámci komunikace o vnitřní a vnější bezpečnosti EU se zaměříme i na kybernetickou bezpečnost, jejíž význam bude s postupující digitalizací narůstat.</w:t>
      </w:r>
      <w:r w:rsidR="005207DE" w:rsidRPr="00536FEF">
        <w:rPr>
          <w:rFonts w:ascii="Arial" w:hAnsi="Arial" w:cs="Arial"/>
          <w:noProof/>
          <w:highlight w:val="yellow"/>
          <w:lang w:eastAsia="cs-CZ"/>
        </w:rPr>
        <w:drawing>
          <wp:anchor distT="0" distB="0" distL="114300" distR="114300" simplePos="0" relativeHeight="251666432" behindDoc="0" locked="0" layoutInCell="1" allowOverlap="1" wp14:anchorId="001C6B6A" wp14:editId="5D5179C7">
            <wp:simplePos x="0" y="0"/>
            <wp:positionH relativeFrom="margin">
              <wp:posOffset>47625</wp:posOffset>
            </wp:positionH>
            <wp:positionV relativeFrom="paragraph">
              <wp:posOffset>641985</wp:posOffset>
            </wp:positionV>
            <wp:extent cx="952500" cy="952500"/>
            <wp:effectExtent l="0" t="0" r="0" b="0"/>
            <wp:wrapSquare wrapText="bothSides"/>
            <wp:docPr id="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7E">
        <w:rPr>
          <w:rFonts w:ascii="Arial" w:hAnsi="Arial" w:cs="Arial"/>
        </w:rPr>
        <w:t xml:space="preserve"> </w:t>
      </w:r>
      <w:r w:rsidR="005207DE" w:rsidRPr="00E569B4">
        <w:rPr>
          <w:rFonts w:ascii="Arial" w:hAnsi="Arial" w:cs="Arial"/>
        </w:rPr>
        <w:t>Aktivity bude realizovat Úřad vlády ČR ve spolupráci s Ministerstvem obrany a případnými dalšími subjekty. Zpravodajský portál Euroskop.cz bude přinášet zejména aktuální zpravodajství v souvislosti s</w:t>
      </w:r>
      <w:r w:rsidR="00E744A0">
        <w:rPr>
          <w:rFonts w:ascii="Arial" w:hAnsi="Arial" w:cs="Arial"/>
        </w:rPr>
        <w:t> </w:t>
      </w:r>
      <w:r w:rsidR="005207DE" w:rsidRPr="00E569B4">
        <w:rPr>
          <w:rFonts w:ascii="Arial" w:hAnsi="Arial" w:cs="Arial"/>
        </w:rPr>
        <w:t>nejnovějšími iniciativami ve výše uvedených oblastech.</w:t>
      </w:r>
      <w:r w:rsidR="005207DE">
        <w:rPr>
          <w:rFonts w:ascii="Arial" w:hAnsi="Arial" w:cs="Arial"/>
        </w:rPr>
        <w:t xml:space="preserve"> </w:t>
      </w:r>
      <w:r w:rsidR="00E744A0" w:rsidRPr="00C03F1C">
        <w:rPr>
          <w:rFonts w:ascii="Arial" w:hAnsi="Arial" w:cs="Arial"/>
        </w:rPr>
        <w:t xml:space="preserve">Cílem je </w:t>
      </w:r>
      <w:r w:rsidR="00E744A0">
        <w:rPr>
          <w:rFonts w:ascii="Arial" w:hAnsi="Arial" w:cs="Arial"/>
        </w:rPr>
        <w:t>zorganizovat</w:t>
      </w:r>
      <w:r w:rsidR="00E744A0" w:rsidRPr="00C03F1C">
        <w:rPr>
          <w:rFonts w:ascii="Arial" w:hAnsi="Arial" w:cs="Arial"/>
        </w:rPr>
        <w:t xml:space="preserve"> minimálně </w:t>
      </w:r>
      <w:r w:rsidR="00E744A0" w:rsidRPr="00F77A57">
        <w:rPr>
          <w:rFonts w:ascii="Arial" w:hAnsi="Arial" w:cs="Arial"/>
        </w:rPr>
        <w:t>15 akcí</w:t>
      </w:r>
      <w:r w:rsidR="00E744A0">
        <w:rPr>
          <w:rFonts w:ascii="Arial" w:hAnsi="Arial" w:cs="Arial"/>
        </w:rPr>
        <w:t xml:space="preserve">, které osloví minimálně </w:t>
      </w:r>
      <w:r w:rsidR="008464F8">
        <w:rPr>
          <w:rFonts w:ascii="Arial" w:hAnsi="Arial" w:cs="Arial"/>
        </w:rPr>
        <w:t>7 5</w:t>
      </w:r>
      <w:r w:rsidR="00E744A0">
        <w:rPr>
          <w:rFonts w:ascii="Arial" w:hAnsi="Arial" w:cs="Arial"/>
        </w:rPr>
        <w:t>00 osob.</w:t>
      </w:r>
      <w:r w:rsidR="00E744A0" w:rsidRPr="00C03F1C">
        <w:rPr>
          <w:rFonts w:ascii="Arial" w:hAnsi="Arial" w:cs="Arial"/>
        </w:rPr>
        <w:t xml:space="preserve"> </w:t>
      </w:r>
      <w:proofErr w:type="spellStart"/>
      <w:r w:rsidR="00E744A0" w:rsidRPr="00FD11CA">
        <w:rPr>
          <w:rFonts w:ascii="Arial" w:hAnsi="Arial" w:cs="Arial"/>
        </w:rPr>
        <w:t>Eurocentra</w:t>
      </w:r>
      <w:proofErr w:type="spellEnd"/>
      <w:r w:rsidR="00E744A0" w:rsidRPr="00FD11CA">
        <w:rPr>
          <w:rFonts w:ascii="Arial" w:hAnsi="Arial" w:cs="Arial"/>
        </w:rPr>
        <w:t xml:space="preserve"> budou spolupracovat i na soutěži </w:t>
      </w:r>
      <w:proofErr w:type="spellStart"/>
      <w:r w:rsidR="00E744A0" w:rsidRPr="00FD11CA">
        <w:rPr>
          <w:rFonts w:ascii="Arial" w:hAnsi="Arial" w:cs="Arial"/>
        </w:rPr>
        <w:t>EuropaSecura</w:t>
      </w:r>
      <w:proofErr w:type="spellEnd"/>
      <w:r w:rsidR="00E744A0" w:rsidRPr="00FD11CA">
        <w:rPr>
          <w:rFonts w:ascii="Arial" w:hAnsi="Arial" w:cs="Arial"/>
        </w:rPr>
        <w:t xml:space="preserve"> 202</w:t>
      </w:r>
      <w:r w:rsidR="00E744A0">
        <w:rPr>
          <w:rFonts w:ascii="Arial" w:hAnsi="Arial" w:cs="Arial"/>
        </w:rPr>
        <w:t>2</w:t>
      </w:r>
      <w:r w:rsidR="00E744A0" w:rsidRPr="00FD11CA">
        <w:rPr>
          <w:rFonts w:ascii="Arial" w:hAnsi="Arial" w:cs="Arial"/>
        </w:rPr>
        <w:t xml:space="preserve">, která </w:t>
      </w:r>
      <w:r w:rsidR="00E744A0">
        <w:rPr>
          <w:rFonts w:ascii="Arial" w:hAnsi="Arial" w:cs="Arial"/>
        </w:rPr>
        <w:t xml:space="preserve">se věnuje bezpečnostním tématům. </w:t>
      </w:r>
    </w:p>
    <w:p w14:paraId="7E358797" w14:textId="308A6537" w:rsidR="005207DE" w:rsidRPr="00843BAE" w:rsidRDefault="00476BB5" w:rsidP="005207DE">
      <w:pPr>
        <w:jc w:val="both"/>
        <w:rPr>
          <w:rFonts w:ascii="Arial" w:hAnsi="Arial" w:cs="Arial"/>
          <w:highlight w:val="yellow"/>
        </w:rPr>
      </w:pPr>
      <w:r w:rsidRPr="00476BB5">
        <w:rPr>
          <w:rFonts w:ascii="Arial" w:hAnsi="Arial" w:cs="Arial"/>
          <w:b/>
          <w:color w:val="284C96"/>
        </w:rPr>
        <w:t xml:space="preserve">Evropská dvojí </w:t>
      </w:r>
      <w:proofErr w:type="spellStart"/>
      <w:r w:rsidRPr="00476BB5">
        <w:rPr>
          <w:rFonts w:ascii="Arial" w:hAnsi="Arial" w:cs="Arial"/>
          <w:b/>
          <w:color w:val="284C96"/>
        </w:rPr>
        <w:t>tranzice</w:t>
      </w:r>
      <w:proofErr w:type="spellEnd"/>
      <w:r w:rsidRPr="00476BB5">
        <w:rPr>
          <w:rFonts w:ascii="Arial" w:hAnsi="Arial" w:cs="Arial"/>
          <w:b/>
          <w:color w:val="284C96"/>
        </w:rPr>
        <w:t xml:space="preserve"> </w:t>
      </w:r>
    </w:p>
    <w:p w14:paraId="1A25D941" w14:textId="221ACD9D" w:rsidR="00476BB5" w:rsidRDefault="00476BB5" w:rsidP="005207DE">
      <w:pPr>
        <w:jc w:val="both"/>
        <w:rPr>
          <w:rFonts w:ascii="Arial" w:hAnsi="Arial" w:cs="Arial"/>
        </w:rPr>
      </w:pPr>
      <w:r w:rsidRPr="009F7071">
        <w:rPr>
          <w:rFonts w:ascii="Arial" w:hAnsi="Arial" w:cs="Arial"/>
        </w:rPr>
        <w:t xml:space="preserve">Vývoj ekonomiky a celé společnosti bude do budoucna </w:t>
      </w:r>
      <w:r>
        <w:rPr>
          <w:rFonts w:ascii="Arial" w:hAnsi="Arial" w:cs="Arial"/>
        </w:rPr>
        <w:t xml:space="preserve">významně </w:t>
      </w:r>
      <w:r w:rsidRPr="009F7071">
        <w:rPr>
          <w:rFonts w:ascii="Arial" w:hAnsi="Arial" w:cs="Arial"/>
        </w:rPr>
        <w:t>ovlivňov</w:t>
      </w:r>
      <w:r>
        <w:rPr>
          <w:rFonts w:ascii="Arial" w:hAnsi="Arial" w:cs="Arial"/>
        </w:rPr>
        <w:t xml:space="preserve">at zavádění digitálních </w:t>
      </w:r>
      <w:r w:rsidRPr="009F7071">
        <w:rPr>
          <w:rFonts w:ascii="Arial" w:hAnsi="Arial" w:cs="Arial"/>
        </w:rPr>
        <w:t>technologií a snaha o prosazení udržitelnosti.</w:t>
      </w:r>
      <w:r>
        <w:rPr>
          <w:rFonts w:ascii="Arial" w:hAnsi="Arial" w:cs="Arial"/>
        </w:rPr>
        <w:t xml:space="preserve"> Procesy dvojí (digitální a zelené) </w:t>
      </w:r>
      <w:proofErr w:type="spellStart"/>
      <w:r>
        <w:rPr>
          <w:rFonts w:ascii="Arial" w:hAnsi="Arial" w:cs="Arial"/>
        </w:rPr>
        <w:t>tranzice</w:t>
      </w:r>
      <w:proofErr w:type="spellEnd"/>
      <w:r>
        <w:rPr>
          <w:rFonts w:ascii="Arial" w:hAnsi="Arial" w:cs="Arial"/>
        </w:rPr>
        <w:t xml:space="preserve"> patří </w:t>
      </w:r>
      <w:r w:rsidR="005E758A">
        <w:rPr>
          <w:rFonts w:ascii="Arial" w:hAnsi="Arial" w:cs="Arial"/>
        </w:rPr>
        <w:t xml:space="preserve">v současnosti </w:t>
      </w:r>
      <w:r>
        <w:rPr>
          <w:rFonts w:ascii="Arial" w:hAnsi="Arial" w:cs="Arial"/>
        </w:rPr>
        <w:t xml:space="preserve">mezi určující parametry evropské politiky. Hlavními cíli těchto procesů je hospodářská obnova a růst, a zároveň plnění vytyčených klimatických cílů. </w:t>
      </w:r>
      <w:r w:rsidRPr="00227BD5">
        <w:rPr>
          <w:rFonts w:ascii="Arial" w:hAnsi="Arial" w:cs="Arial"/>
        </w:rPr>
        <w:t xml:space="preserve">Vzhledem k souběhu obou </w:t>
      </w:r>
      <w:proofErr w:type="spellStart"/>
      <w:r>
        <w:rPr>
          <w:rFonts w:ascii="Arial" w:hAnsi="Arial" w:cs="Arial"/>
        </w:rPr>
        <w:t>tranzicí</w:t>
      </w:r>
      <w:proofErr w:type="spellEnd"/>
      <w:r w:rsidRPr="00227BD5">
        <w:rPr>
          <w:rFonts w:ascii="Arial" w:hAnsi="Arial" w:cs="Arial"/>
        </w:rPr>
        <w:t xml:space="preserve"> a potře</w:t>
      </w:r>
      <w:r>
        <w:rPr>
          <w:rFonts w:ascii="Arial" w:hAnsi="Arial" w:cs="Arial"/>
        </w:rPr>
        <w:t>bě velkých investic veřejného i soukromého sektoru</w:t>
      </w:r>
      <w:r w:rsidRPr="00227BD5">
        <w:rPr>
          <w:rFonts w:ascii="Arial" w:hAnsi="Arial" w:cs="Arial"/>
        </w:rPr>
        <w:t xml:space="preserve"> je důležité </w:t>
      </w:r>
      <w:r>
        <w:rPr>
          <w:rFonts w:ascii="Arial" w:hAnsi="Arial" w:cs="Arial"/>
        </w:rPr>
        <w:t>vnímat také</w:t>
      </w:r>
      <w:r w:rsidRPr="00227BD5">
        <w:rPr>
          <w:rFonts w:ascii="Arial" w:hAnsi="Arial" w:cs="Arial"/>
        </w:rPr>
        <w:t xml:space="preserve"> jejich pot</w:t>
      </w:r>
      <w:r>
        <w:rPr>
          <w:rFonts w:ascii="Arial" w:hAnsi="Arial" w:cs="Arial"/>
        </w:rPr>
        <w:t>enciální synergie</w:t>
      </w:r>
      <w:r w:rsidRPr="00227BD5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ČR</w:t>
      </w:r>
      <w:r w:rsidRPr="00227BD5">
        <w:rPr>
          <w:rFonts w:ascii="Arial" w:hAnsi="Arial" w:cs="Arial"/>
        </w:rPr>
        <w:t xml:space="preserve"> a v EU.</w:t>
      </w:r>
      <w:r>
        <w:rPr>
          <w:rFonts w:ascii="Arial" w:hAnsi="Arial" w:cs="Arial"/>
        </w:rPr>
        <w:t xml:space="preserve"> Důraz na dvojí </w:t>
      </w:r>
      <w:proofErr w:type="spellStart"/>
      <w:r>
        <w:rPr>
          <w:rFonts w:ascii="Arial" w:hAnsi="Arial" w:cs="Arial"/>
        </w:rPr>
        <w:t>tranzici</w:t>
      </w:r>
      <w:proofErr w:type="spellEnd"/>
      <w:r>
        <w:rPr>
          <w:rFonts w:ascii="Arial" w:hAnsi="Arial" w:cs="Arial"/>
        </w:rPr>
        <w:t xml:space="preserve"> je evidentní i v souvislosti s obnovou ze současné krize způsobené pandemií covidu-19. Digitální a klimatické milníky jsou proto stanovené také v Nástroji pro oživení a odolnost (RRF) a tvoří významnou část investic v Národním plánu obnovy ČR.</w:t>
      </w:r>
    </w:p>
    <w:p w14:paraId="669FA097" w14:textId="2C6DE6BB" w:rsidR="005207DE" w:rsidRPr="00476BB5" w:rsidRDefault="005207DE" w:rsidP="005207DE">
      <w:pPr>
        <w:jc w:val="both"/>
        <w:rPr>
          <w:rFonts w:ascii="Arial" w:hAnsi="Arial" w:cs="Arial"/>
        </w:rPr>
      </w:pPr>
      <w:r w:rsidRPr="00476BB5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9B9B0F2" wp14:editId="03C5FA20">
            <wp:simplePos x="0" y="0"/>
            <wp:positionH relativeFrom="margin">
              <wp:posOffset>4762500</wp:posOffset>
            </wp:positionH>
            <wp:positionV relativeFrom="paragraph">
              <wp:posOffset>452120</wp:posOffset>
            </wp:positionV>
            <wp:extent cx="952500" cy="11525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s8-oak-tree-9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BB5">
        <w:rPr>
          <w:rFonts w:ascii="Arial" w:hAnsi="Arial" w:cs="Arial"/>
        </w:rPr>
        <w:t xml:space="preserve">Vliv na dlouhodobou prosperitu Unie a ČR bude mít i řádné fungování vnitřního trhu, </w:t>
      </w:r>
      <w:r w:rsidR="00506E4B">
        <w:rPr>
          <w:rFonts w:ascii="Arial" w:hAnsi="Arial" w:cs="Arial"/>
        </w:rPr>
        <w:t xml:space="preserve">který </w:t>
      </w:r>
      <w:r w:rsidRPr="00476BB5">
        <w:rPr>
          <w:rFonts w:ascii="Arial" w:hAnsi="Arial" w:cs="Arial"/>
        </w:rPr>
        <w:t>je dlouhodobou prioritou ČR, ekonomické dopady odchodu Spojeného království z Evropské unie</w:t>
      </w:r>
      <w:r w:rsidR="00506E4B">
        <w:rPr>
          <w:rFonts w:ascii="Arial" w:hAnsi="Arial" w:cs="Arial"/>
        </w:rPr>
        <w:t xml:space="preserve"> a směřování evropské energetické politiky</w:t>
      </w:r>
      <w:r w:rsidRPr="00476BB5">
        <w:rPr>
          <w:rFonts w:ascii="Arial" w:hAnsi="Arial" w:cs="Arial"/>
        </w:rPr>
        <w:t xml:space="preserve">. </w:t>
      </w:r>
    </w:p>
    <w:p w14:paraId="0D5B2E20" w14:textId="4288F37E" w:rsidR="005207DE" w:rsidRDefault="005207DE" w:rsidP="00843BAE">
      <w:pPr>
        <w:jc w:val="both"/>
        <w:rPr>
          <w:rFonts w:ascii="Arial" w:hAnsi="Arial" w:cs="Arial"/>
        </w:rPr>
      </w:pPr>
      <w:r w:rsidRPr="00D47921">
        <w:rPr>
          <w:rFonts w:ascii="Arial" w:hAnsi="Arial" w:cs="Arial"/>
        </w:rPr>
        <w:t>Cílem této komunikační priority je podp</w:t>
      </w:r>
      <w:r w:rsidR="00476BB5" w:rsidRPr="00D47921">
        <w:rPr>
          <w:rFonts w:ascii="Arial" w:hAnsi="Arial" w:cs="Arial"/>
        </w:rPr>
        <w:t xml:space="preserve">ořit debatu o evropské dvojí </w:t>
      </w:r>
      <w:proofErr w:type="spellStart"/>
      <w:r w:rsidR="00476BB5" w:rsidRPr="00D47921">
        <w:rPr>
          <w:rFonts w:ascii="Arial" w:hAnsi="Arial" w:cs="Arial"/>
        </w:rPr>
        <w:t>tranzici</w:t>
      </w:r>
      <w:proofErr w:type="spellEnd"/>
      <w:r w:rsidR="00476BB5" w:rsidRPr="00D47921">
        <w:rPr>
          <w:rFonts w:ascii="Arial" w:hAnsi="Arial" w:cs="Arial"/>
        </w:rPr>
        <w:t xml:space="preserve"> </w:t>
      </w:r>
      <w:r w:rsidRPr="00D47921">
        <w:rPr>
          <w:rFonts w:ascii="Arial" w:hAnsi="Arial" w:cs="Arial"/>
        </w:rPr>
        <w:t xml:space="preserve">u české veřejnosti tak, aby především nastínila příležitosti skýtající se pro Českou republiku. S ohledem na šíři priority budou jednotlivé komunikační aktivity svým charakterem přizpůsobeny konkrétním cílovým skupinám od studentů po seniory. Tématu se bude věnovat zpravodajství a analýzy portálu </w:t>
      </w:r>
      <w:proofErr w:type="spellStart"/>
      <w:r w:rsidRPr="00D47921">
        <w:rPr>
          <w:rFonts w:ascii="Arial" w:hAnsi="Arial" w:cs="Arial"/>
        </w:rPr>
        <w:t>Euroskop</w:t>
      </w:r>
      <w:proofErr w:type="spellEnd"/>
      <w:r w:rsidRPr="00D47921">
        <w:rPr>
          <w:rFonts w:ascii="Arial" w:hAnsi="Arial" w:cs="Arial"/>
        </w:rPr>
        <w:t xml:space="preserve"> včetně materiálů pro sociální sítě. </w:t>
      </w:r>
      <w:proofErr w:type="spellStart"/>
      <w:r w:rsidR="00E744A0" w:rsidRPr="00C03F1C">
        <w:rPr>
          <w:rFonts w:ascii="Arial" w:hAnsi="Arial" w:cs="Arial"/>
        </w:rPr>
        <w:t>Eurocentra</w:t>
      </w:r>
      <w:proofErr w:type="spellEnd"/>
      <w:r w:rsidR="00E744A0" w:rsidRPr="00C03F1C">
        <w:rPr>
          <w:rFonts w:ascii="Arial" w:hAnsi="Arial" w:cs="Arial"/>
        </w:rPr>
        <w:t xml:space="preserve"> uspořádají k tématům souvisejícím s touto prioritou minimálně </w:t>
      </w:r>
      <w:r w:rsidR="00E744A0" w:rsidRPr="00CC0F37">
        <w:rPr>
          <w:rFonts w:ascii="Arial" w:hAnsi="Arial" w:cs="Arial"/>
        </w:rPr>
        <w:t>30 akcí</w:t>
      </w:r>
      <w:r w:rsidR="00E744A0">
        <w:rPr>
          <w:rFonts w:ascii="Arial" w:hAnsi="Arial" w:cs="Arial"/>
        </w:rPr>
        <w:t xml:space="preserve">, které by měly oslovit </w:t>
      </w:r>
      <w:r w:rsidR="00E744A0" w:rsidRPr="00CC0F37">
        <w:rPr>
          <w:rFonts w:ascii="Arial" w:hAnsi="Arial" w:cs="Arial"/>
        </w:rPr>
        <w:t xml:space="preserve">minimálně </w:t>
      </w:r>
      <w:r w:rsidR="00E744A0">
        <w:rPr>
          <w:rFonts w:ascii="Arial" w:hAnsi="Arial" w:cs="Arial"/>
        </w:rPr>
        <w:t>1</w:t>
      </w:r>
      <w:r w:rsidR="008464F8">
        <w:rPr>
          <w:rFonts w:ascii="Arial" w:hAnsi="Arial" w:cs="Arial"/>
        </w:rPr>
        <w:t>0 0</w:t>
      </w:r>
      <w:r w:rsidR="00E744A0">
        <w:rPr>
          <w:rFonts w:ascii="Arial" w:hAnsi="Arial" w:cs="Arial"/>
        </w:rPr>
        <w:t>00</w:t>
      </w:r>
      <w:r w:rsidR="00E744A0" w:rsidRPr="00CC0F37">
        <w:rPr>
          <w:rFonts w:ascii="Arial" w:hAnsi="Arial" w:cs="Arial"/>
        </w:rPr>
        <w:t xml:space="preserve"> osob.</w:t>
      </w:r>
    </w:p>
    <w:p w14:paraId="7E0534A6" w14:textId="3B7B33B5" w:rsidR="005207DE" w:rsidRPr="00843BAE" w:rsidRDefault="00794427" w:rsidP="005207DE">
      <w:pPr>
        <w:spacing w:before="360" w:after="120"/>
        <w:jc w:val="both"/>
        <w:rPr>
          <w:rFonts w:ascii="Arial" w:hAnsi="Arial" w:cs="Arial"/>
          <w:b/>
          <w:color w:val="284C96"/>
          <w:highlight w:val="yellow"/>
        </w:rPr>
      </w:pPr>
      <w:r w:rsidRPr="00794427">
        <w:rPr>
          <w:rFonts w:ascii="Arial" w:hAnsi="Arial" w:cs="Arial"/>
          <w:b/>
          <w:color w:val="284C96"/>
        </w:rPr>
        <w:t>Evropské fondy a přímo řízené programy</w:t>
      </w:r>
    </w:p>
    <w:p w14:paraId="1B0A77F6" w14:textId="7AE4C31A" w:rsidR="00794427" w:rsidRDefault="00E744A0" w:rsidP="00794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94427">
        <w:rPr>
          <w:rFonts w:ascii="Arial" w:hAnsi="Arial" w:cs="Arial"/>
        </w:rPr>
        <w:t xml:space="preserve">oncem roku </w:t>
      </w:r>
      <w:r>
        <w:rPr>
          <w:rFonts w:ascii="Arial" w:hAnsi="Arial" w:cs="Arial"/>
        </w:rPr>
        <w:t xml:space="preserve">byl </w:t>
      </w:r>
      <w:r w:rsidR="00794427">
        <w:rPr>
          <w:rFonts w:ascii="Arial" w:hAnsi="Arial" w:cs="Arial"/>
        </w:rPr>
        <w:t xml:space="preserve">2020 přijat </w:t>
      </w:r>
      <w:r w:rsidR="00794427" w:rsidRPr="00C03F1C">
        <w:rPr>
          <w:rFonts w:ascii="Arial" w:hAnsi="Arial" w:cs="Arial"/>
        </w:rPr>
        <w:t xml:space="preserve">víceletý finanční rámec </w:t>
      </w:r>
      <w:r w:rsidR="00794427">
        <w:rPr>
          <w:rFonts w:ascii="Arial" w:hAnsi="Arial" w:cs="Arial"/>
        </w:rPr>
        <w:t xml:space="preserve">EU </w:t>
      </w:r>
      <w:r w:rsidR="00794427" w:rsidRPr="00C03F1C">
        <w:rPr>
          <w:rFonts w:ascii="Arial" w:hAnsi="Arial" w:cs="Arial"/>
        </w:rPr>
        <w:t xml:space="preserve">na </w:t>
      </w:r>
      <w:r w:rsidR="00794427">
        <w:rPr>
          <w:rFonts w:ascii="Arial" w:hAnsi="Arial" w:cs="Arial"/>
        </w:rPr>
        <w:t xml:space="preserve">období </w:t>
      </w:r>
      <w:r w:rsidR="00794427" w:rsidRPr="00C03F1C">
        <w:rPr>
          <w:rFonts w:ascii="Arial" w:hAnsi="Arial" w:cs="Arial"/>
        </w:rPr>
        <w:t>2021-2027</w:t>
      </w:r>
      <w:r w:rsidR="00794427">
        <w:rPr>
          <w:rFonts w:ascii="Arial" w:hAnsi="Arial" w:cs="Arial"/>
        </w:rPr>
        <w:t xml:space="preserve">. Dlouhodobý unijní rozpočet je zaměřen na </w:t>
      </w:r>
      <w:r w:rsidR="00794427" w:rsidRPr="00F92FA2">
        <w:rPr>
          <w:rFonts w:ascii="Arial" w:hAnsi="Arial" w:cs="Arial"/>
        </w:rPr>
        <w:t>nové a posílené priority napříč oblastmi politiky EU. Významné finanční prostředky poplynou i</w:t>
      </w:r>
      <w:r>
        <w:rPr>
          <w:rFonts w:ascii="Arial" w:hAnsi="Arial" w:cs="Arial"/>
        </w:rPr>
        <w:t> </w:t>
      </w:r>
      <w:r w:rsidR="00794427">
        <w:rPr>
          <w:rFonts w:ascii="Arial" w:hAnsi="Arial" w:cs="Arial"/>
        </w:rPr>
        <w:t xml:space="preserve">nadále na politiku soudržnosti, která by měla (společně s další velkou položkou výdajů - Společnou zemědělskou politikou) projít modernizací. </w:t>
      </w:r>
    </w:p>
    <w:p w14:paraId="06F8B202" w14:textId="351DB35C" w:rsidR="00794427" w:rsidRPr="003312AD" w:rsidRDefault="00C507B0" w:rsidP="00794427">
      <w:pPr>
        <w:jc w:val="both"/>
        <w:rPr>
          <w:rFonts w:ascii="Arial" w:hAnsi="Arial" w:cs="Arial"/>
        </w:rPr>
      </w:pPr>
      <w:r w:rsidRPr="00843BAE">
        <w:rPr>
          <w:rFonts w:ascii="Arial" w:hAnsi="Arial" w:cs="Arial"/>
          <w:noProof/>
          <w:highlight w:val="yellow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D1958AB" wp14:editId="5B4336C6">
            <wp:simplePos x="0" y="0"/>
            <wp:positionH relativeFrom="margin">
              <wp:posOffset>66675</wp:posOffset>
            </wp:positionH>
            <wp:positionV relativeFrom="paragraph">
              <wp:posOffset>611505</wp:posOffset>
            </wp:positionV>
            <wp:extent cx="1053465" cy="1057275"/>
            <wp:effectExtent l="0" t="0" r="0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29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27" w:rsidRPr="00794427">
        <w:rPr>
          <w:rFonts w:ascii="Arial" w:hAnsi="Arial" w:cs="Arial"/>
        </w:rPr>
        <w:t xml:space="preserve">Priority EU v rámci politiky soudržnosti jsou koncentrované do 5 politických cílů zaměřených na konkurenceschopnou a perspektivní Evropu, na ekologickou Evropu, více propojenou Evropu, na sociálnější a inkluzivní Evropu a v neposlední řadě na Evropu, která bude blíže občanům. </w:t>
      </w:r>
      <w:r w:rsidR="00794427">
        <w:rPr>
          <w:rFonts w:ascii="Arial" w:hAnsi="Arial" w:cs="Arial"/>
        </w:rPr>
        <w:t xml:space="preserve">V novém programovém období 2021-2027 bude nadále růst význam tzv. přímo řízených programů. </w:t>
      </w:r>
    </w:p>
    <w:p w14:paraId="2ADEF4F2" w14:textId="7E7599DA" w:rsidR="005207DE" w:rsidRDefault="00794427" w:rsidP="00794427">
      <w:pPr>
        <w:jc w:val="both"/>
        <w:rPr>
          <w:rFonts w:ascii="Arial" w:hAnsi="Arial" w:cs="Arial"/>
        </w:rPr>
      </w:pPr>
      <w:r w:rsidRPr="00C03F1C">
        <w:rPr>
          <w:rFonts w:ascii="Arial" w:hAnsi="Arial" w:cs="Arial"/>
        </w:rPr>
        <w:t xml:space="preserve">Prostřednictvím Integrovaného informačního systému budou veřejnosti poskytovány informace </w:t>
      </w:r>
      <w:r>
        <w:rPr>
          <w:rFonts w:ascii="Arial" w:hAnsi="Arial" w:cs="Arial"/>
        </w:rPr>
        <w:t xml:space="preserve">o struktuře a cílech víceletého finančního rámce, o </w:t>
      </w:r>
      <w:r w:rsidRPr="00C03F1C">
        <w:rPr>
          <w:rFonts w:ascii="Arial" w:hAnsi="Arial" w:cs="Arial"/>
        </w:rPr>
        <w:t xml:space="preserve">podobě </w:t>
      </w:r>
      <w:r>
        <w:rPr>
          <w:rFonts w:ascii="Arial" w:hAnsi="Arial" w:cs="Arial"/>
        </w:rPr>
        <w:t xml:space="preserve">nových </w:t>
      </w:r>
      <w:r w:rsidRPr="00C03F1C">
        <w:rPr>
          <w:rFonts w:ascii="Arial" w:hAnsi="Arial" w:cs="Arial"/>
        </w:rPr>
        <w:t>operačních programů a</w:t>
      </w:r>
      <w:r>
        <w:rPr>
          <w:rFonts w:ascii="Arial" w:hAnsi="Arial" w:cs="Arial"/>
        </w:rPr>
        <w:t xml:space="preserve"> rovněž</w:t>
      </w:r>
      <w:r w:rsidRPr="00C03F1C">
        <w:rPr>
          <w:rFonts w:ascii="Arial" w:hAnsi="Arial" w:cs="Arial"/>
        </w:rPr>
        <w:t xml:space="preserve"> o možnostech čerpání ze strukturálních fondů EU a využívání přímo řízených programů EU. Témat</w:t>
      </w:r>
      <w:r>
        <w:rPr>
          <w:rFonts w:ascii="Arial" w:hAnsi="Arial" w:cs="Arial"/>
        </w:rPr>
        <w:t>ům</w:t>
      </w:r>
      <w:r w:rsidRPr="00C03F1C">
        <w:rPr>
          <w:rFonts w:ascii="Arial" w:hAnsi="Arial" w:cs="Arial"/>
        </w:rPr>
        <w:t xml:space="preserve"> se bude podrobněji věnovat </w:t>
      </w:r>
      <w:r>
        <w:rPr>
          <w:rFonts w:ascii="Arial" w:hAnsi="Arial" w:cs="Arial"/>
        </w:rPr>
        <w:t xml:space="preserve">i </w:t>
      </w:r>
      <w:r w:rsidRPr="00C03F1C">
        <w:rPr>
          <w:rFonts w:ascii="Arial" w:hAnsi="Arial" w:cs="Arial"/>
        </w:rPr>
        <w:t xml:space="preserve">portál </w:t>
      </w:r>
      <w:proofErr w:type="spellStart"/>
      <w:r w:rsidRPr="00C03F1C">
        <w:rPr>
          <w:rFonts w:ascii="Arial" w:hAnsi="Arial" w:cs="Arial"/>
        </w:rPr>
        <w:t>Euroskop</w:t>
      </w:r>
      <w:proofErr w:type="spellEnd"/>
      <w:r w:rsidRPr="00C03F1C">
        <w:rPr>
          <w:rFonts w:ascii="Arial" w:hAnsi="Arial" w:cs="Arial"/>
        </w:rPr>
        <w:t xml:space="preserve"> prostřednictv</w:t>
      </w:r>
      <w:r>
        <w:rPr>
          <w:rFonts w:ascii="Arial" w:hAnsi="Arial" w:cs="Arial"/>
        </w:rPr>
        <w:t xml:space="preserve">ím odborných analýz a článků. </w:t>
      </w:r>
      <w:r w:rsidR="00E744A0">
        <w:rPr>
          <w:rFonts w:ascii="Arial" w:hAnsi="Arial" w:cs="Arial"/>
        </w:rPr>
        <w:t>V </w:t>
      </w:r>
      <w:r w:rsidR="00E744A0" w:rsidRPr="00C03F1C">
        <w:rPr>
          <w:rFonts w:ascii="Arial" w:hAnsi="Arial" w:cs="Arial"/>
        </w:rPr>
        <w:t xml:space="preserve">regionech </w:t>
      </w:r>
      <w:r w:rsidR="00E744A0">
        <w:rPr>
          <w:rFonts w:ascii="Arial" w:hAnsi="Arial" w:cs="Arial"/>
        </w:rPr>
        <w:t>proběhne v rámci této priority</w:t>
      </w:r>
      <w:r w:rsidR="00E744A0" w:rsidRPr="00C03F1C">
        <w:rPr>
          <w:rFonts w:ascii="Arial" w:hAnsi="Arial" w:cs="Arial"/>
        </w:rPr>
        <w:t xml:space="preserve"> minimálně </w:t>
      </w:r>
      <w:r w:rsidR="00E744A0" w:rsidRPr="00CC0F37">
        <w:rPr>
          <w:rFonts w:ascii="Arial" w:hAnsi="Arial" w:cs="Arial"/>
        </w:rPr>
        <w:t>20 akcí</w:t>
      </w:r>
      <w:r w:rsidR="00E744A0" w:rsidRPr="00C03F1C">
        <w:rPr>
          <w:rFonts w:ascii="Arial" w:hAnsi="Arial" w:cs="Arial"/>
        </w:rPr>
        <w:t xml:space="preserve"> s dosahem alespoň </w:t>
      </w:r>
      <w:r w:rsidR="00E744A0">
        <w:rPr>
          <w:rFonts w:ascii="Arial" w:hAnsi="Arial" w:cs="Arial"/>
        </w:rPr>
        <w:t>1</w:t>
      </w:r>
      <w:r w:rsidR="008464F8">
        <w:rPr>
          <w:rFonts w:ascii="Arial" w:hAnsi="Arial" w:cs="Arial"/>
        </w:rPr>
        <w:t>0 0</w:t>
      </w:r>
      <w:r w:rsidR="00E744A0">
        <w:rPr>
          <w:rFonts w:ascii="Arial" w:hAnsi="Arial" w:cs="Arial"/>
        </w:rPr>
        <w:t>00</w:t>
      </w:r>
      <w:r w:rsidR="00E744A0" w:rsidRPr="00C03F1C">
        <w:rPr>
          <w:rFonts w:ascii="Arial" w:hAnsi="Arial" w:cs="Arial"/>
        </w:rPr>
        <w:t xml:space="preserve"> osob.</w:t>
      </w:r>
    </w:p>
    <w:p w14:paraId="217FD6DC" w14:textId="7A66DF35" w:rsidR="005207DE" w:rsidRPr="00536FEF" w:rsidRDefault="005207DE" w:rsidP="00794427">
      <w:pPr>
        <w:jc w:val="both"/>
        <w:rPr>
          <w:rFonts w:ascii="Arial" w:hAnsi="Arial" w:cs="Arial"/>
          <w:b/>
          <w:color w:val="284C96"/>
        </w:rPr>
      </w:pPr>
      <w:r w:rsidRPr="0029157A">
        <w:rPr>
          <w:rFonts w:ascii="Arial" w:hAnsi="Arial" w:cs="Arial"/>
          <w:b/>
          <w:color w:val="284C96"/>
        </w:rPr>
        <w:t>Ochrana spotřebitele</w:t>
      </w:r>
      <w:r w:rsidRPr="00C03F1C">
        <w:rPr>
          <w:rFonts w:ascii="Arial" w:hAnsi="Arial" w:cs="Arial"/>
          <w:b/>
          <w:color w:val="284C96"/>
        </w:rPr>
        <w:t xml:space="preserve"> </w:t>
      </w:r>
    </w:p>
    <w:p w14:paraId="40628100" w14:textId="7A5E300A" w:rsidR="005207DE" w:rsidRPr="00C03F1C" w:rsidRDefault="005207DE" w:rsidP="0052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Vysoká úroveň ochrany spotřebitele </w:t>
      </w:r>
      <w:r w:rsidRPr="00C03F1C">
        <w:rPr>
          <w:rFonts w:ascii="Arial" w:hAnsi="Arial" w:cs="Arial"/>
        </w:rPr>
        <w:t xml:space="preserve">představuje jeden z hlavních přínosů společného trhu. Unijní instituce svojí legislativní činností na poli ochrany spotřebitele garantují občanům všech členských zemí standardy spotřebitelských práv, na které se mohou spolehnout napříč </w:t>
      </w:r>
      <w:r>
        <w:rPr>
          <w:rFonts w:ascii="Arial" w:hAnsi="Arial" w:cs="Arial"/>
        </w:rPr>
        <w:t>celou</w:t>
      </w:r>
      <w:r w:rsidRPr="00C03F1C">
        <w:rPr>
          <w:rFonts w:ascii="Arial" w:hAnsi="Arial" w:cs="Arial"/>
        </w:rPr>
        <w:t xml:space="preserve"> EU. </w:t>
      </w:r>
    </w:p>
    <w:p w14:paraId="6CCC1DCB" w14:textId="08FD0DB4" w:rsidR="00536FEF" w:rsidRPr="00C03F1C" w:rsidRDefault="00FB1074" w:rsidP="005207DE">
      <w:pPr>
        <w:jc w:val="both"/>
        <w:rPr>
          <w:rFonts w:ascii="Arial" w:hAnsi="Arial" w:cs="Arial"/>
        </w:rPr>
      </w:pPr>
      <w:r w:rsidRPr="0069106F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F55F332" wp14:editId="73BC6B5E">
            <wp:simplePos x="0" y="0"/>
            <wp:positionH relativeFrom="margin">
              <wp:align>left</wp:align>
            </wp:positionH>
            <wp:positionV relativeFrom="paragraph">
              <wp:posOffset>554990</wp:posOffset>
            </wp:positionV>
            <wp:extent cx="1083945" cy="1083310"/>
            <wp:effectExtent l="0" t="0" r="0" b="2540"/>
            <wp:wrapSquare wrapText="bothSides"/>
            <wp:docPr id="8" name="Obrázek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26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DE">
        <w:rPr>
          <w:rFonts w:ascii="Arial" w:hAnsi="Arial" w:cs="Arial"/>
        </w:rPr>
        <w:t>V</w:t>
      </w:r>
      <w:r w:rsidR="00536FEF">
        <w:rPr>
          <w:rFonts w:ascii="Arial" w:hAnsi="Arial" w:cs="Arial"/>
        </w:rPr>
        <w:t xml:space="preserve"> roce 2022</w:t>
      </w:r>
      <w:r w:rsidR="005207DE" w:rsidRPr="00C03F1C">
        <w:rPr>
          <w:rFonts w:ascii="Arial" w:hAnsi="Arial" w:cs="Arial"/>
        </w:rPr>
        <w:t xml:space="preserve"> </w:t>
      </w:r>
      <w:r w:rsidR="005207DE">
        <w:rPr>
          <w:rFonts w:ascii="Arial" w:hAnsi="Arial" w:cs="Arial"/>
        </w:rPr>
        <w:t>se zaměř</w:t>
      </w:r>
      <w:r w:rsidR="00536FEF">
        <w:rPr>
          <w:rFonts w:ascii="Arial" w:hAnsi="Arial" w:cs="Arial"/>
        </w:rPr>
        <w:t xml:space="preserve">íme zejména </w:t>
      </w:r>
      <w:r w:rsidR="005207DE">
        <w:rPr>
          <w:rFonts w:ascii="Arial" w:hAnsi="Arial" w:cs="Arial"/>
        </w:rPr>
        <w:t>na práva</w:t>
      </w:r>
      <w:r w:rsidR="005207DE" w:rsidRPr="00C03F1C">
        <w:rPr>
          <w:rFonts w:ascii="Arial" w:hAnsi="Arial" w:cs="Arial"/>
        </w:rPr>
        <w:t xml:space="preserve"> v digitální oblasti</w:t>
      </w:r>
      <w:r w:rsidR="00536FEF">
        <w:rPr>
          <w:rFonts w:ascii="Arial" w:hAnsi="Arial" w:cs="Arial"/>
        </w:rPr>
        <w:t xml:space="preserve"> </w:t>
      </w:r>
      <w:r w:rsidR="00536FEF" w:rsidRPr="00C343DB">
        <w:rPr>
          <w:rFonts w:ascii="Arial" w:hAnsi="Arial" w:cs="Arial"/>
        </w:rPr>
        <w:t>v souladu s Novým programem pro spotřebitele pro období 2020-2025</w:t>
      </w:r>
      <w:r w:rsidR="00536FEF">
        <w:rPr>
          <w:rFonts w:ascii="Arial" w:hAnsi="Arial" w:cs="Arial"/>
        </w:rPr>
        <w:t>, který klade důraz na</w:t>
      </w:r>
      <w:r w:rsidR="00536FEF" w:rsidRPr="00C343DB">
        <w:rPr>
          <w:rFonts w:ascii="Arial" w:hAnsi="Arial" w:cs="Arial"/>
        </w:rPr>
        <w:t xml:space="preserve"> význam digitální</w:t>
      </w:r>
      <w:r w:rsidR="00506E4B">
        <w:rPr>
          <w:rFonts w:ascii="Arial" w:hAnsi="Arial" w:cs="Arial"/>
        </w:rPr>
        <w:t xml:space="preserve"> transformace pro spotřebitele a</w:t>
      </w:r>
      <w:r w:rsidR="00536FEF" w:rsidRPr="00C343DB">
        <w:rPr>
          <w:rFonts w:ascii="Arial" w:hAnsi="Arial" w:cs="Arial"/>
        </w:rPr>
        <w:t xml:space="preserve"> potřebu řešit existující nežádoucí praktiky.</w:t>
      </w:r>
      <w:r w:rsidR="00536FEF" w:rsidRPr="00C343DB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="00506E4B">
        <w:rPr>
          <w:rFonts w:ascii="Arial" w:eastAsia="Arial Unicode MS" w:hAnsi="Arial" w:cs="Arial"/>
          <w:kern w:val="1"/>
          <w:lang w:eastAsia="hi-IN" w:bidi="hi-IN"/>
        </w:rPr>
        <w:t>D</w:t>
      </w:r>
      <w:r w:rsidR="00506E4B">
        <w:rPr>
          <w:rFonts w:ascii="Arial" w:hAnsi="Arial" w:cs="Arial"/>
        </w:rPr>
        <w:t>ůležitým tématem bude</w:t>
      </w:r>
      <w:r w:rsidR="00536FEF">
        <w:rPr>
          <w:rFonts w:ascii="Arial" w:hAnsi="Arial" w:cs="Arial"/>
        </w:rPr>
        <w:t xml:space="preserve"> i</w:t>
      </w:r>
      <w:r w:rsidR="00E744A0">
        <w:rPr>
          <w:rFonts w:ascii="Arial" w:hAnsi="Arial" w:cs="Arial"/>
        </w:rPr>
        <w:t> </w:t>
      </w:r>
      <w:r w:rsidR="00506E4B">
        <w:rPr>
          <w:rFonts w:ascii="Arial" w:hAnsi="Arial" w:cs="Arial"/>
        </w:rPr>
        <w:t>bezpečnost</w:t>
      </w:r>
      <w:r w:rsidR="00536FEF">
        <w:rPr>
          <w:rFonts w:ascii="Arial" w:hAnsi="Arial" w:cs="Arial"/>
        </w:rPr>
        <w:t xml:space="preserve"> výrobků na trhu, </w:t>
      </w:r>
      <w:r w:rsidR="00536FEF" w:rsidRPr="00C343DB">
        <w:rPr>
          <w:rFonts w:ascii="Arial" w:hAnsi="Arial" w:cs="Arial"/>
        </w:rPr>
        <w:t>stejně jako zajištění rovných podmínek pro všechny hospodářsk</w:t>
      </w:r>
      <w:r w:rsidR="005A1F05">
        <w:rPr>
          <w:rFonts w:ascii="Arial" w:hAnsi="Arial" w:cs="Arial"/>
        </w:rPr>
        <w:t>é subjekty, což je akcentováno</w:t>
      </w:r>
      <w:r w:rsidR="00536FEF" w:rsidRPr="00C343DB">
        <w:rPr>
          <w:rFonts w:ascii="Arial" w:hAnsi="Arial" w:cs="Arial"/>
        </w:rPr>
        <w:t xml:space="preserve"> v</w:t>
      </w:r>
      <w:r w:rsidR="00536FEF">
        <w:rPr>
          <w:rFonts w:ascii="Arial" w:hAnsi="Arial" w:cs="Arial"/>
        </w:rPr>
        <w:t>e</w:t>
      </w:r>
      <w:r w:rsidR="00536FEF" w:rsidRPr="00C343DB">
        <w:rPr>
          <w:rFonts w:ascii="Arial" w:hAnsi="Arial" w:cs="Arial"/>
        </w:rPr>
        <w:t xml:space="preserve"> Strategii spotřebitelské politiky 2021-2030. </w:t>
      </w:r>
    </w:p>
    <w:p w14:paraId="3069AA77" w14:textId="4F51A605" w:rsidR="005207DE" w:rsidRPr="00C03F1C" w:rsidRDefault="005207DE" w:rsidP="00FB1074">
      <w:pPr>
        <w:spacing w:after="120"/>
        <w:jc w:val="both"/>
        <w:rPr>
          <w:rFonts w:ascii="Arial" w:hAnsi="Arial" w:cs="Arial"/>
        </w:rPr>
      </w:pPr>
      <w:r w:rsidRPr="00C03F1C">
        <w:rPr>
          <w:rFonts w:ascii="Arial" w:hAnsi="Arial" w:cs="Arial"/>
        </w:rPr>
        <w:t>V oblasti ochrany spotřebitele bude komunikace nadále zaměřena především na širokou veřejnost. Cílem bude seznámení spotřebitelů s jejich právy, která vyplývají z evropské legislativy</w:t>
      </w:r>
      <w:r w:rsidR="005E758A">
        <w:rPr>
          <w:rFonts w:ascii="Arial" w:hAnsi="Arial" w:cs="Arial"/>
        </w:rPr>
        <w:t>,</w:t>
      </w:r>
      <w:r w:rsidRPr="00C03F1C">
        <w:rPr>
          <w:rFonts w:ascii="Arial" w:hAnsi="Arial" w:cs="Arial"/>
        </w:rPr>
        <w:t xml:space="preserve"> a aktuálním vývojem v této oblasti tak, aby je spotřebitelé byli schopni aktivně uplatňovat. Aktivity bude realizovat Úřad vlády ve spolupráci se spotřebitelskými sdruženími, Zastoupením Evropské komise v ČR a dalšími subjekty.</w:t>
      </w:r>
      <w:r w:rsidR="00B4477E">
        <w:rPr>
          <w:rFonts w:ascii="Arial" w:hAnsi="Arial" w:cs="Arial"/>
        </w:rPr>
        <w:t xml:space="preserve"> </w:t>
      </w:r>
      <w:r w:rsidRPr="00C03F1C">
        <w:rPr>
          <w:rFonts w:ascii="Arial" w:hAnsi="Arial" w:cs="Arial"/>
        </w:rPr>
        <w:t xml:space="preserve">Pozornost oblasti ochrany spotřebitele </w:t>
      </w:r>
      <w:r w:rsidR="00506E4B">
        <w:rPr>
          <w:rFonts w:ascii="Arial" w:hAnsi="Arial" w:cs="Arial"/>
        </w:rPr>
        <w:t xml:space="preserve">bude </w:t>
      </w:r>
      <w:r w:rsidRPr="00C03F1C">
        <w:rPr>
          <w:rFonts w:ascii="Arial" w:hAnsi="Arial" w:cs="Arial"/>
        </w:rPr>
        <w:t xml:space="preserve">věnována rovněž </w:t>
      </w:r>
      <w:r w:rsidR="00506E4B">
        <w:rPr>
          <w:rFonts w:ascii="Arial" w:hAnsi="Arial" w:cs="Arial"/>
        </w:rPr>
        <w:t xml:space="preserve">ve zpravodajské části </w:t>
      </w:r>
      <w:r w:rsidRPr="00C03F1C">
        <w:rPr>
          <w:rFonts w:ascii="Arial" w:hAnsi="Arial" w:cs="Arial"/>
        </w:rPr>
        <w:t>portálu Euroskop.cz.</w:t>
      </w:r>
      <w:r w:rsidR="00E744A0">
        <w:rPr>
          <w:rFonts w:ascii="Arial" w:hAnsi="Arial" w:cs="Arial"/>
        </w:rPr>
        <w:t xml:space="preserve"> </w:t>
      </w:r>
      <w:r w:rsidR="00E744A0" w:rsidRPr="00C03F1C">
        <w:rPr>
          <w:rFonts w:ascii="Arial" w:hAnsi="Arial" w:cs="Arial"/>
        </w:rPr>
        <w:t xml:space="preserve">Předpokládá se, že </w:t>
      </w:r>
      <w:proofErr w:type="spellStart"/>
      <w:r w:rsidR="00E744A0" w:rsidRPr="00C03F1C">
        <w:rPr>
          <w:rFonts w:ascii="Arial" w:hAnsi="Arial" w:cs="Arial"/>
        </w:rPr>
        <w:t>Eurocentra</w:t>
      </w:r>
      <w:proofErr w:type="spellEnd"/>
      <w:r w:rsidR="00E744A0" w:rsidRPr="00C03F1C">
        <w:rPr>
          <w:rFonts w:ascii="Arial" w:hAnsi="Arial" w:cs="Arial"/>
        </w:rPr>
        <w:t xml:space="preserve"> zorganizují minimálně </w:t>
      </w:r>
      <w:r w:rsidR="00E744A0" w:rsidRPr="001A63D5">
        <w:rPr>
          <w:rFonts w:ascii="Arial" w:hAnsi="Arial" w:cs="Arial"/>
        </w:rPr>
        <w:t>10</w:t>
      </w:r>
      <w:r w:rsidR="00E744A0" w:rsidRPr="00C03F1C">
        <w:rPr>
          <w:rFonts w:ascii="Arial" w:hAnsi="Arial" w:cs="Arial"/>
        </w:rPr>
        <w:t xml:space="preserve"> akcí s dosahem alespoň </w:t>
      </w:r>
      <w:r w:rsidR="008464F8">
        <w:rPr>
          <w:rFonts w:ascii="Arial" w:hAnsi="Arial" w:cs="Arial"/>
        </w:rPr>
        <w:t>3 5</w:t>
      </w:r>
      <w:r w:rsidR="00E744A0">
        <w:rPr>
          <w:rFonts w:ascii="Arial" w:hAnsi="Arial" w:cs="Arial"/>
        </w:rPr>
        <w:t>00</w:t>
      </w:r>
      <w:r w:rsidR="00E744A0" w:rsidRPr="00C03F1C">
        <w:rPr>
          <w:rFonts w:ascii="Arial" w:hAnsi="Arial" w:cs="Arial"/>
        </w:rPr>
        <w:t xml:space="preserve"> osob</w:t>
      </w:r>
      <w:r w:rsidR="00E744A0">
        <w:rPr>
          <w:rFonts w:ascii="Arial" w:hAnsi="Arial" w:cs="Arial"/>
        </w:rPr>
        <w:t>, na nichž budou diskutována výše uvedená témata</w:t>
      </w:r>
      <w:r w:rsidR="00E744A0" w:rsidRPr="00C03F1C">
        <w:rPr>
          <w:rFonts w:ascii="Arial" w:hAnsi="Arial" w:cs="Arial"/>
        </w:rPr>
        <w:t>.</w:t>
      </w:r>
    </w:p>
    <w:p w14:paraId="60BD6634" w14:textId="0413520B" w:rsidR="005207DE" w:rsidRDefault="005207DE" w:rsidP="005207DE">
      <w:pPr>
        <w:spacing w:before="360" w:after="120"/>
        <w:jc w:val="both"/>
        <w:rPr>
          <w:rFonts w:ascii="Arial" w:hAnsi="Arial" w:cs="Arial"/>
          <w:b/>
          <w:color w:val="284C96"/>
        </w:rPr>
      </w:pPr>
      <w:r w:rsidRPr="0084644B">
        <w:rPr>
          <w:rFonts w:ascii="Arial" w:hAnsi="Arial" w:cs="Arial"/>
          <w:b/>
          <w:color w:val="284C96"/>
        </w:rPr>
        <w:t>Zapojení občanů do Konference o budoucnosti Evropy</w:t>
      </w:r>
      <w:r w:rsidRPr="00C03F1C">
        <w:rPr>
          <w:rFonts w:ascii="Arial" w:hAnsi="Arial" w:cs="Arial"/>
          <w:b/>
          <w:color w:val="284C96"/>
        </w:rPr>
        <w:t xml:space="preserve"> </w:t>
      </w:r>
      <w:r w:rsidR="005A1F05">
        <w:rPr>
          <w:rFonts w:ascii="Arial" w:hAnsi="Arial" w:cs="Arial"/>
          <w:b/>
          <w:color w:val="284C96"/>
        </w:rPr>
        <w:t>v</w:t>
      </w:r>
      <w:r w:rsidR="005A1F05" w:rsidRPr="005A1F05">
        <w:rPr>
          <w:rFonts w:ascii="Arial" w:hAnsi="Arial" w:cs="Arial"/>
          <w:b/>
          <w:color w:val="284C96"/>
        </w:rPr>
        <w:t xml:space="preserve"> kontextu evropského roku mládeže </w:t>
      </w:r>
    </w:p>
    <w:p w14:paraId="528B5612" w14:textId="26387FEC" w:rsidR="005A1F05" w:rsidRPr="005A1F05" w:rsidRDefault="005A1F05" w:rsidP="00FE61F6">
      <w:pPr>
        <w:jc w:val="both"/>
        <w:rPr>
          <w:rFonts w:ascii="Arial" w:hAnsi="Arial" w:cs="Arial"/>
        </w:rPr>
      </w:pPr>
      <w:r w:rsidRPr="005A1F05">
        <w:rPr>
          <w:rFonts w:ascii="Arial" w:hAnsi="Arial" w:cs="Arial"/>
        </w:rPr>
        <w:t xml:space="preserve">Uspořádání Konference o budoucnosti Evropy je jednou z iniciativ Evropské komise pod vedením předsedkyně Ursuly von der </w:t>
      </w:r>
      <w:proofErr w:type="spellStart"/>
      <w:r w:rsidRPr="005A1F05">
        <w:rPr>
          <w:rFonts w:ascii="Arial" w:hAnsi="Arial" w:cs="Arial"/>
        </w:rPr>
        <w:t>Leyenové</w:t>
      </w:r>
      <w:proofErr w:type="spellEnd"/>
      <w:r w:rsidRPr="005A1F05">
        <w:rPr>
          <w:rFonts w:ascii="Arial" w:hAnsi="Arial" w:cs="Arial"/>
        </w:rPr>
        <w:t xml:space="preserve">. Konference byla slavnostně zahájena na Den Evropy 9. května 2021. Cílem Konference je diskuze o budoucí podobě Unie, která bude schopna reagovat na výzvy globálního světa, reflektovat potřeby svých občanů a posílí svůj demokratický charakter. Debata se tak </w:t>
      </w:r>
      <w:r w:rsidR="00E744A0">
        <w:rPr>
          <w:rFonts w:ascii="Arial" w:hAnsi="Arial" w:cs="Arial"/>
        </w:rPr>
        <w:t>dotýká</w:t>
      </w:r>
      <w:r w:rsidR="00E744A0" w:rsidRPr="005A1F05">
        <w:rPr>
          <w:rFonts w:ascii="Arial" w:hAnsi="Arial" w:cs="Arial"/>
        </w:rPr>
        <w:t xml:space="preserve"> </w:t>
      </w:r>
      <w:r w:rsidRPr="005A1F05">
        <w:rPr>
          <w:rFonts w:ascii="Arial" w:hAnsi="Arial" w:cs="Arial"/>
        </w:rPr>
        <w:t xml:space="preserve">nejenom </w:t>
      </w:r>
      <w:r w:rsidR="005E758A">
        <w:rPr>
          <w:rFonts w:ascii="Arial" w:hAnsi="Arial" w:cs="Arial"/>
        </w:rPr>
        <w:t>institucionálních otázek, ale i </w:t>
      </w:r>
      <w:r w:rsidRPr="005A1F05">
        <w:rPr>
          <w:rFonts w:ascii="Arial" w:hAnsi="Arial" w:cs="Arial"/>
        </w:rPr>
        <w:t>konkrétních unijních politik.</w:t>
      </w:r>
    </w:p>
    <w:p w14:paraId="6798A3DC" w14:textId="32E7E5A9" w:rsidR="005207DE" w:rsidRPr="00C03F1C" w:rsidRDefault="005A1F05" w:rsidP="00FE61F6">
      <w:pPr>
        <w:jc w:val="both"/>
        <w:rPr>
          <w:rFonts w:ascii="Arial" w:hAnsi="Arial" w:cs="Arial"/>
        </w:rPr>
      </w:pPr>
      <w:r w:rsidRPr="005A1F05">
        <w:rPr>
          <w:rFonts w:ascii="Arial" w:hAnsi="Arial" w:cs="Arial"/>
        </w:rPr>
        <w:t xml:space="preserve">Aktivity realizované v rámci Konference o budoucnosti Evropy </w:t>
      </w:r>
      <w:r w:rsidR="00506E4B">
        <w:rPr>
          <w:rFonts w:ascii="Arial" w:hAnsi="Arial" w:cs="Arial"/>
        </w:rPr>
        <w:t xml:space="preserve">také </w:t>
      </w:r>
      <w:r w:rsidRPr="005A1F05">
        <w:rPr>
          <w:rFonts w:ascii="Arial" w:hAnsi="Arial" w:cs="Arial"/>
        </w:rPr>
        <w:t xml:space="preserve">nabízí prostor k obecnému zvýšení povědomí české veřejnosti o členství České republiky v EU, základních informací o EU a společných hodnotách. Do </w:t>
      </w:r>
      <w:r w:rsidR="00E744A0">
        <w:rPr>
          <w:rFonts w:ascii="Arial" w:hAnsi="Arial" w:cs="Arial"/>
        </w:rPr>
        <w:t>K</w:t>
      </w:r>
      <w:r w:rsidRPr="005A1F05">
        <w:rPr>
          <w:rFonts w:ascii="Arial" w:hAnsi="Arial" w:cs="Arial"/>
        </w:rPr>
        <w:t xml:space="preserve">onference se mohou zapojit všichni občané EU, velký apel </w:t>
      </w:r>
      <w:r w:rsidRPr="005A1F05">
        <w:rPr>
          <w:rFonts w:ascii="Arial" w:hAnsi="Arial" w:cs="Arial"/>
        </w:rPr>
        <w:lastRenderedPageBreak/>
        <w:t>je však dán na zapojení mladých lidí do tvorby politik EU, což zároveň koresponduje s vyhlášením roku 2022 evropským rokem mládeže. Jeho cílem je zapojit mladé lidi a jejich priority do tvorby politik a organizovat aktivity zaměřené na mládež v celé EU.</w:t>
      </w:r>
      <w:r w:rsidR="005207DE" w:rsidRPr="0069106F">
        <w:rPr>
          <w:rFonts w:ascii="Arial" w:hAnsi="Arial" w:cs="Arial"/>
          <w:noProof/>
          <w:lang w:eastAsia="cs-CZ"/>
        </w:rPr>
        <w:drawing>
          <wp:anchor distT="0" distB="0" distL="120396" distR="114300" simplePos="0" relativeHeight="251663360" behindDoc="0" locked="0" layoutInCell="1" allowOverlap="1" wp14:anchorId="3EE2E363" wp14:editId="213A13ED">
            <wp:simplePos x="0" y="0"/>
            <wp:positionH relativeFrom="margin">
              <wp:posOffset>4876800</wp:posOffset>
            </wp:positionH>
            <wp:positionV relativeFrom="paragraph">
              <wp:posOffset>590550</wp:posOffset>
            </wp:positionV>
            <wp:extent cx="872490" cy="872490"/>
            <wp:effectExtent l="0" t="0" r="3810" b="3810"/>
            <wp:wrapSquare wrapText="bothSides"/>
            <wp:docPr id="4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s6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DE" w:rsidRPr="00C03F1C">
        <w:rPr>
          <w:rFonts w:ascii="Arial" w:hAnsi="Arial" w:cs="Arial"/>
        </w:rPr>
        <w:t xml:space="preserve"> </w:t>
      </w:r>
    </w:p>
    <w:p w14:paraId="65D3138C" w14:textId="27E5BF63" w:rsidR="005207DE" w:rsidRPr="00C03F1C" w:rsidRDefault="005207DE" w:rsidP="005207D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V rámci této priority bude široká veřejnost p</w:t>
      </w:r>
      <w:r w:rsidRPr="00C03F1C">
        <w:rPr>
          <w:rFonts w:ascii="Arial" w:hAnsi="Arial" w:cs="Arial"/>
          <w:bCs/>
          <w:iCs/>
        </w:rPr>
        <w:t xml:space="preserve">rostřednictvím Integrovaného informačního systému </w:t>
      </w:r>
      <w:r>
        <w:rPr>
          <w:rFonts w:ascii="Arial" w:hAnsi="Arial" w:cs="Arial"/>
          <w:bCs/>
          <w:iCs/>
        </w:rPr>
        <w:t>nejenom informována o konání Konference a možnostech zapojit se do diskuse, ale rovněž jí budou přibližována i jednotlivá relevantní témata, aby občané mohli o</w:t>
      </w:r>
      <w:r w:rsidR="00E744A0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nich následně informovaně diskutovat</w:t>
      </w:r>
      <w:r w:rsidR="00E744A0">
        <w:rPr>
          <w:rFonts w:ascii="Arial" w:hAnsi="Arial" w:cs="Arial"/>
          <w:bCs/>
          <w:iCs/>
        </w:rPr>
        <w:t>, a to i po skončení Konference</w:t>
      </w:r>
      <w:r>
        <w:rPr>
          <w:rFonts w:ascii="Arial" w:hAnsi="Arial" w:cs="Arial"/>
          <w:bCs/>
          <w:iCs/>
        </w:rPr>
        <w:t xml:space="preserve">. </w:t>
      </w:r>
      <w:proofErr w:type="spellStart"/>
      <w:r>
        <w:rPr>
          <w:rFonts w:ascii="Arial" w:hAnsi="Arial" w:cs="Arial"/>
          <w:bCs/>
          <w:iCs/>
        </w:rPr>
        <w:t>Euroskop</w:t>
      </w:r>
      <w:proofErr w:type="spellEnd"/>
      <w:r>
        <w:rPr>
          <w:rFonts w:ascii="Arial" w:hAnsi="Arial" w:cs="Arial"/>
          <w:bCs/>
          <w:iCs/>
        </w:rPr>
        <w:t xml:space="preserve"> i regionální </w:t>
      </w:r>
      <w:proofErr w:type="spellStart"/>
      <w:r>
        <w:rPr>
          <w:rFonts w:ascii="Arial" w:hAnsi="Arial" w:cs="Arial"/>
          <w:bCs/>
          <w:iCs/>
        </w:rPr>
        <w:t>Eurocentra</w:t>
      </w:r>
      <w:proofErr w:type="spellEnd"/>
      <w:r>
        <w:rPr>
          <w:rFonts w:ascii="Arial" w:hAnsi="Arial" w:cs="Arial"/>
          <w:bCs/>
          <w:iCs/>
        </w:rPr>
        <w:t xml:space="preserve"> tak budou dále představovat </w:t>
      </w:r>
      <w:r w:rsidRPr="00C03F1C">
        <w:rPr>
          <w:rFonts w:ascii="Arial" w:hAnsi="Arial" w:cs="Arial"/>
          <w:bCs/>
          <w:iCs/>
        </w:rPr>
        <w:t>konkrétní politiky</w:t>
      </w:r>
      <w:r>
        <w:rPr>
          <w:rFonts w:ascii="Arial" w:hAnsi="Arial" w:cs="Arial"/>
          <w:bCs/>
          <w:iCs/>
        </w:rPr>
        <w:t xml:space="preserve"> Unie,</w:t>
      </w:r>
      <w:r w:rsidRPr="00C03F1C">
        <w:rPr>
          <w:rFonts w:ascii="Arial" w:hAnsi="Arial" w:cs="Arial"/>
          <w:bCs/>
          <w:iCs/>
        </w:rPr>
        <w:t xml:space="preserve"> základní informac</w:t>
      </w:r>
      <w:r>
        <w:rPr>
          <w:rFonts w:ascii="Arial" w:hAnsi="Arial" w:cs="Arial"/>
          <w:bCs/>
          <w:iCs/>
        </w:rPr>
        <w:t>e o</w:t>
      </w:r>
      <w:r w:rsidR="00E744A0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fungování EU, o </w:t>
      </w:r>
      <w:r w:rsidRPr="00C03F1C">
        <w:rPr>
          <w:rFonts w:ascii="Arial" w:hAnsi="Arial" w:cs="Arial"/>
        </w:rPr>
        <w:t xml:space="preserve">společných hodnotách v kontextu akčního plánu pro demokracii, o </w:t>
      </w:r>
      <w:r w:rsidR="00506E4B">
        <w:rPr>
          <w:rFonts w:ascii="Arial" w:hAnsi="Arial" w:cs="Arial"/>
        </w:rPr>
        <w:t>historii, kultuře, právním řádu</w:t>
      </w:r>
      <w:r w:rsidRPr="00C03F1C">
        <w:rPr>
          <w:rFonts w:ascii="Arial" w:hAnsi="Arial" w:cs="Arial"/>
        </w:rPr>
        <w:t xml:space="preserve"> a společné měně. </w:t>
      </w:r>
      <w:r w:rsidR="00641131" w:rsidRPr="00C03F1C">
        <w:rPr>
          <w:rFonts w:ascii="Arial" w:hAnsi="Arial" w:cs="Arial"/>
        </w:rPr>
        <w:t xml:space="preserve">Cílem je uskutečnit minimálně </w:t>
      </w:r>
      <w:r w:rsidR="008464F8">
        <w:rPr>
          <w:rFonts w:ascii="Arial" w:hAnsi="Arial" w:cs="Arial"/>
        </w:rPr>
        <w:t>50</w:t>
      </w:r>
      <w:r w:rsidR="00641131" w:rsidRPr="00C03F1C">
        <w:rPr>
          <w:rFonts w:ascii="Arial" w:hAnsi="Arial" w:cs="Arial"/>
        </w:rPr>
        <w:t xml:space="preserve"> akcí s dosahem </w:t>
      </w:r>
      <w:r w:rsidR="008464F8">
        <w:rPr>
          <w:rFonts w:ascii="Arial" w:hAnsi="Arial" w:cs="Arial"/>
        </w:rPr>
        <w:t>15</w:t>
      </w:r>
      <w:r w:rsidR="00FE61F6">
        <w:rPr>
          <w:rFonts w:ascii="Arial" w:hAnsi="Arial" w:cs="Arial"/>
        </w:rPr>
        <w:t> </w:t>
      </w:r>
      <w:r w:rsidR="00641131" w:rsidRPr="00921DFD">
        <w:rPr>
          <w:rFonts w:ascii="Arial" w:hAnsi="Arial" w:cs="Arial"/>
        </w:rPr>
        <w:t>000</w:t>
      </w:r>
      <w:r w:rsidR="00641131" w:rsidRPr="00C03F1C">
        <w:rPr>
          <w:rFonts w:ascii="Arial" w:hAnsi="Arial" w:cs="Arial"/>
        </w:rPr>
        <w:t xml:space="preserve"> osob. </w:t>
      </w:r>
    </w:p>
    <w:p w14:paraId="7616F53B" w14:textId="77777777" w:rsidR="005207DE" w:rsidRPr="00C03F1C" w:rsidRDefault="005207DE" w:rsidP="005207DE">
      <w:pPr>
        <w:tabs>
          <w:tab w:val="left" w:pos="4035"/>
        </w:tabs>
        <w:spacing w:before="360" w:after="120"/>
        <w:jc w:val="both"/>
        <w:rPr>
          <w:rFonts w:ascii="Arial" w:hAnsi="Arial" w:cs="Arial"/>
          <w:b/>
          <w:color w:val="284C96"/>
        </w:rPr>
      </w:pPr>
      <w:r w:rsidRPr="00C03F1C">
        <w:rPr>
          <w:rFonts w:ascii="Arial" w:hAnsi="Arial" w:cs="Arial"/>
          <w:b/>
          <w:color w:val="284C96"/>
        </w:rPr>
        <w:t>České předsednictví v Radě EU 2022</w:t>
      </w:r>
    </w:p>
    <w:p w14:paraId="69CADCAE" w14:textId="77777777" w:rsidR="005207DE" w:rsidRPr="00C03F1C" w:rsidRDefault="005207DE" w:rsidP="005207DE">
      <w:pPr>
        <w:jc w:val="both"/>
        <w:rPr>
          <w:rFonts w:ascii="Arial" w:hAnsi="Arial" w:cs="Arial"/>
        </w:rPr>
      </w:pPr>
      <w:r w:rsidRPr="00C03F1C">
        <w:rPr>
          <w:rFonts w:ascii="Arial" w:hAnsi="Arial" w:cs="Arial"/>
        </w:rPr>
        <w:t xml:space="preserve">Česká republika bude předsedat Radě Evropské unie v druhé polovině roku 2022. </w:t>
      </w:r>
      <w:r>
        <w:rPr>
          <w:rFonts w:ascii="Arial" w:hAnsi="Arial" w:cs="Arial"/>
        </w:rPr>
        <w:t>V rámci svého</w:t>
      </w:r>
      <w:r w:rsidRPr="00C03F1C">
        <w:rPr>
          <w:rFonts w:ascii="Arial" w:hAnsi="Arial" w:cs="Arial"/>
        </w:rPr>
        <w:t xml:space="preserve"> druhé</w:t>
      </w:r>
      <w:r>
        <w:rPr>
          <w:rFonts w:ascii="Arial" w:hAnsi="Arial" w:cs="Arial"/>
        </w:rPr>
        <w:t xml:space="preserve">ho předsednictví bude </w:t>
      </w:r>
      <w:r w:rsidRPr="00C03F1C">
        <w:rPr>
          <w:rFonts w:ascii="Arial" w:hAnsi="Arial" w:cs="Arial"/>
        </w:rPr>
        <w:t xml:space="preserve">Česká republika spoluurčovat agendu a priority Rady. Bude to Česko, které povede formální a neformální zasedání většiny formací Rady. Předsednictví je tak jedinečnou příležitostí k prezentaci ČR jako důležitého a aktivního člena Unie a zvýšení povědomí o politikách EU a přínosech členství v EU pro ČR a její občany. Předsednictví bude rovněž doprovázet řada akcí, které mimo jiné přispějí k větší informovanosti občanů o této události i o EU jako takové. </w:t>
      </w:r>
      <w:r>
        <w:rPr>
          <w:rFonts w:ascii="Arial" w:hAnsi="Arial" w:cs="Arial"/>
        </w:rPr>
        <w:t>Zásadní bude</w:t>
      </w:r>
      <w:r w:rsidRPr="00FB7BA3">
        <w:rPr>
          <w:rFonts w:ascii="Arial" w:hAnsi="Arial" w:cs="Arial"/>
        </w:rPr>
        <w:t xml:space="preserve"> zajištění jasného porozumění zásadám a důležitým cílům a prioritám předsednictví.</w:t>
      </w:r>
    </w:p>
    <w:p w14:paraId="2680EFFB" w14:textId="77777777" w:rsidR="005207DE" w:rsidRDefault="005207DE" w:rsidP="005207D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C1B1F19" wp14:editId="4784DE2B">
            <wp:simplePos x="0" y="0"/>
            <wp:positionH relativeFrom="column">
              <wp:posOffset>4810125</wp:posOffset>
            </wp:positionH>
            <wp:positionV relativeFrom="paragraph">
              <wp:posOffset>94615</wp:posOffset>
            </wp:positionV>
            <wp:extent cx="952500" cy="9525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s8-lecturer-10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F1C">
        <w:rPr>
          <w:rFonts w:ascii="Arial" w:hAnsi="Arial" w:cs="Arial"/>
        </w:rPr>
        <w:t>Komunikaci a prezentaci předsednictví bude realizovat Úřad vlády ČR ve spolupráci s dalšími subjekty</w:t>
      </w:r>
      <w:r>
        <w:rPr>
          <w:rFonts w:ascii="Arial" w:hAnsi="Arial" w:cs="Arial"/>
        </w:rPr>
        <w:t xml:space="preserve">, a to v intencích samostatně přijaté </w:t>
      </w:r>
      <w:r w:rsidRPr="00C24870">
        <w:rPr>
          <w:rFonts w:ascii="Arial" w:hAnsi="Arial" w:cs="Arial"/>
        </w:rPr>
        <w:t>Koncepce komunikace předsednictví Čes</w:t>
      </w:r>
      <w:r>
        <w:rPr>
          <w:rFonts w:ascii="Arial" w:hAnsi="Arial" w:cs="Arial"/>
        </w:rPr>
        <w:t xml:space="preserve">ké republiky </w:t>
      </w:r>
      <w:r w:rsidRPr="00C24870">
        <w:rPr>
          <w:rFonts w:ascii="Arial" w:hAnsi="Arial" w:cs="Arial"/>
        </w:rPr>
        <w:t>v Radě Evropské unie</w:t>
      </w:r>
      <w:r w:rsidRPr="00C03F1C">
        <w:rPr>
          <w:rFonts w:ascii="Arial" w:hAnsi="Arial" w:cs="Arial"/>
        </w:rPr>
        <w:t xml:space="preserve">. Cílovou skupinou bude široká veřejnost a relevantní skupiny </w:t>
      </w:r>
      <w:r>
        <w:rPr>
          <w:rFonts w:ascii="Arial" w:hAnsi="Arial" w:cs="Arial"/>
        </w:rPr>
        <w:t xml:space="preserve">v rámci </w:t>
      </w:r>
      <w:r w:rsidRPr="00C03F1C">
        <w:rPr>
          <w:rFonts w:ascii="Arial" w:hAnsi="Arial" w:cs="Arial"/>
        </w:rPr>
        <w:t xml:space="preserve">odborné veřejnosti. Veřejnost bude prostřednictvím Integrovaného informačního systému </w:t>
      </w:r>
      <w:r>
        <w:rPr>
          <w:rFonts w:ascii="Arial" w:hAnsi="Arial" w:cs="Arial"/>
        </w:rPr>
        <w:t xml:space="preserve">intenzivněji </w:t>
      </w:r>
      <w:r w:rsidRPr="00C03F1C">
        <w:rPr>
          <w:rFonts w:ascii="Arial" w:hAnsi="Arial" w:cs="Arial"/>
        </w:rPr>
        <w:t xml:space="preserve">průběžně informována o organizaci, přípravách, prioritách a obsahu předsednictví. </w:t>
      </w:r>
    </w:p>
    <w:p w14:paraId="331B23A0" w14:textId="04682F2D" w:rsidR="005207DE" w:rsidRPr="0004480B" w:rsidRDefault="005207DE" w:rsidP="005207DE">
      <w:pPr>
        <w:jc w:val="both"/>
        <w:rPr>
          <w:rFonts w:ascii="Arial" w:hAnsi="Arial" w:cs="Arial"/>
        </w:rPr>
      </w:pPr>
      <w:r w:rsidRPr="00C03F1C">
        <w:rPr>
          <w:rFonts w:ascii="Arial" w:hAnsi="Arial" w:cs="Arial"/>
        </w:rPr>
        <w:t>Pro zasáhnutí široké veřejnosti b</w:t>
      </w:r>
      <w:r>
        <w:rPr>
          <w:rFonts w:ascii="Arial" w:hAnsi="Arial" w:cs="Arial"/>
        </w:rPr>
        <w:t>udou rovněž využívány stránky a </w:t>
      </w:r>
      <w:r w:rsidRPr="00C03F1C">
        <w:rPr>
          <w:rFonts w:ascii="Arial" w:hAnsi="Arial" w:cs="Arial"/>
        </w:rPr>
        <w:t xml:space="preserve">profily </w:t>
      </w:r>
      <w:proofErr w:type="spellStart"/>
      <w:r w:rsidRPr="00C03F1C">
        <w:rPr>
          <w:rFonts w:ascii="Arial" w:hAnsi="Arial" w:cs="Arial"/>
        </w:rPr>
        <w:t>Euroskopu</w:t>
      </w:r>
      <w:proofErr w:type="spellEnd"/>
      <w:r w:rsidRPr="00C03F1C">
        <w:rPr>
          <w:rFonts w:ascii="Arial" w:hAnsi="Arial" w:cs="Arial"/>
        </w:rPr>
        <w:t xml:space="preserve"> na sociálních sítích, publikace a projekty </w:t>
      </w:r>
      <w:proofErr w:type="spellStart"/>
      <w:r w:rsidRPr="00C03F1C">
        <w:rPr>
          <w:rFonts w:ascii="Arial" w:hAnsi="Arial" w:cs="Arial"/>
        </w:rPr>
        <w:t>Euroskopu</w:t>
      </w:r>
      <w:proofErr w:type="spellEnd"/>
      <w:r w:rsidRPr="00C03F1C">
        <w:rPr>
          <w:rFonts w:ascii="Arial" w:hAnsi="Arial" w:cs="Arial"/>
        </w:rPr>
        <w:t xml:space="preserve"> zaměřené na členství ČR v EU s důrazem na důležitost ČR jako </w:t>
      </w:r>
      <w:r w:rsidR="005E758A">
        <w:rPr>
          <w:rFonts w:ascii="Arial" w:hAnsi="Arial" w:cs="Arial"/>
        </w:rPr>
        <w:t>plnohodnotného člena EU a její</w:t>
      </w:r>
      <w:r>
        <w:rPr>
          <w:rFonts w:ascii="Arial" w:hAnsi="Arial" w:cs="Arial"/>
        </w:rPr>
        <w:t xml:space="preserve"> možností ovlivňování dění v EU a </w:t>
      </w:r>
      <w:r w:rsidRPr="00C03F1C">
        <w:rPr>
          <w:rFonts w:ascii="Arial" w:hAnsi="Arial" w:cs="Arial"/>
        </w:rPr>
        <w:t xml:space="preserve">přiblížení předsednictví v Radě EU obecně a konkrétně českého </w:t>
      </w:r>
      <w:r>
        <w:rPr>
          <w:rFonts w:ascii="Arial" w:hAnsi="Arial" w:cs="Arial"/>
        </w:rPr>
        <w:t>předsednictví. Nezastupitelnou roli</w:t>
      </w:r>
      <w:r w:rsidR="00E033B8">
        <w:rPr>
          <w:rFonts w:ascii="Arial" w:hAnsi="Arial" w:cs="Arial"/>
        </w:rPr>
        <w:t xml:space="preserve"> nad rámec aktivit naplňujících komunikační strategii předsednictví ČR v Radě EU</w:t>
      </w:r>
      <w:r>
        <w:rPr>
          <w:rFonts w:ascii="Arial" w:hAnsi="Arial" w:cs="Arial"/>
        </w:rPr>
        <w:t xml:space="preserve"> bude hrát</w:t>
      </w:r>
      <w:r w:rsidRPr="00C03F1C">
        <w:rPr>
          <w:rFonts w:ascii="Arial" w:hAnsi="Arial" w:cs="Arial"/>
        </w:rPr>
        <w:t xml:space="preserve"> síť regionálních </w:t>
      </w:r>
      <w:proofErr w:type="spellStart"/>
      <w:r w:rsidRPr="00C03F1C">
        <w:rPr>
          <w:rFonts w:ascii="Arial" w:hAnsi="Arial" w:cs="Arial"/>
        </w:rPr>
        <w:t>Eurocenter</w:t>
      </w:r>
      <w:proofErr w:type="spellEnd"/>
      <w:r w:rsidRPr="00C03F1C">
        <w:rPr>
          <w:rFonts w:ascii="Arial" w:hAnsi="Arial" w:cs="Arial"/>
        </w:rPr>
        <w:t xml:space="preserve">, která </w:t>
      </w:r>
      <w:r>
        <w:rPr>
          <w:rFonts w:ascii="Arial" w:hAnsi="Arial" w:cs="Arial"/>
        </w:rPr>
        <w:t xml:space="preserve">zejména </w:t>
      </w:r>
      <w:r w:rsidRPr="00C03F1C">
        <w:rPr>
          <w:rFonts w:ascii="Arial" w:hAnsi="Arial" w:cs="Arial"/>
        </w:rPr>
        <w:t>bude upoz</w:t>
      </w:r>
      <w:r>
        <w:rPr>
          <w:rFonts w:ascii="Arial" w:hAnsi="Arial" w:cs="Arial"/>
        </w:rPr>
        <w:t xml:space="preserve">orňovat na úlohu předsednictví a </w:t>
      </w:r>
      <w:r w:rsidRPr="00C03F1C">
        <w:rPr>
          <w:rFonts w:ascii="Arial" w:hAnsi="Arial" w:cs="Arial"/>
        </w:rPr>
        <w:t>napomůže zvýšení povědomí o předsednictví ve všech regionech ČR.</w:t>
      </w:r>
      <w:r w:rsidR="00E033B8">
        <w:rPr>
          <w:rFonts w:ascii="Arial" w:hAnsi="Arial" w:cs="Arial"/>
        </w:rPr>
        <w:t xml:space="preserve"> V rámci této činnosti bude zorganizováno minimálně 100 akcí za účasti minimálně 30 000 osob.</w:t>
      </w:r>
      <w:r w:rsidRPr="0004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 rámec těchto specializovaných akcí se předpokládá průběžné informování a </w:t>
      </w:r>
      <w:proofErr w:type="spellStart"/>
      <w:r>
        <w:rPr>
          <w:rFonts w:ascii="Arial" w:hAnsi="Arial" w:cs="Arial"/>
        </w:rPr>
        <w:t>senzitivizování</w:t>
      </w:r>
      <w:proofErr w:type="spellEnd"/>
      <w:r>
        <w:rPr>
          <w:rFonts w:ascii="Arial" w:hAnsi="Arial" w:cs="Arial"/>
        </w:rPr>
        <w:t xml:space="preserve"> veřejnosti i v rámci dalších komunikačních aktivit </w:t>
      </w:r>
      <w:proofErr w:type="spellStart"/>
      <w:r>
        <w:rPr>
          <w:rFonts w:ascii="Arial" w:hAnsi="Arial" w:cs="Arial"/>
        </w:rPr>
        <w:t>Eurocenter</w:t>
      </w:r>
      <w:proofErr w:type="spellEnd"/>
      <w:r>
        <w:rPr>
          <w:rFonts w:ascii="Arial" w:hAnsi="Arial" w:cs="Arial"/>
        </w:rPr>
        <w:t>, jako jsou např. pravidelné přednášky pro žáky a studenty či diskuse pro širokou veřejnost</w:t>
      </w:r>
      <w:r w:rsidR="00E033B8">
        <w:rPr>
          <w:rFonts w:ascii="Arial" w:hAnsi="Arial" w:cs="Arial"/>
        </w:rPr>
        <w:t>, které dále navýší počet oslovených osob v rámci této komunikační priority</w:t>
      </w:r>
      <w:r>
        <w:rPr>
          <w:rFonts w:ascii="Arial" w:hAnsi="Arial" w:cs="Arial"/>
        </w:rPr>
        <w:t>.</w:t>
      </w:r>
    </w:p>
    <w:p w14:paraId="4BAA1D3A" w14:textId="77777777" w:rsidR="00557E01" w:rsidRDefault="00557E01" w:rsidP="000A4563">
      <w:pPr>
        <w:jc w:val="both"/>
        <w:rPr>
          <w:rFonts w:ascii="Arial" w:hAnsi="Arial" w:cs="Arial"/>
        </w:rPr>
      </w:pPr>
    </w:p>
    <w:sectPr w:rsidR="00557E01" w:rsidSect="006D2F9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33B3" w14:textId="77777777" w:rsidR="00D347B0" w:rsidRDefault="00D347B0" w:rsidP="001135F4">
      <w:pPr>
        <w:spacing w:after="0" w:line="240" w:lineRule="auto"/>
      </w:pPr>
      <w:r>
        <w:separator/>
      </w:r>
    </w:p>
  </w:endnote>
  <w:endnote w:type="continuationSeparator" w:id="0">
    <w:p w14:paraId="50554C65" w14:textId="77777777" w:rsidR="00D347B0" w:rsidRDefault="00D347B0" w:rsidP="0011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panose1 w:val="02000503070000020003"/>
    <w:charset w:val="EE"/>
    <w:family w:val="auto"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AD54" w14:textId="77E8351D" w:rsidR="0084644B" w:rsidRPr="00772728" w:rsidRDefault="0084644B" w:rsidP="006A1F40">
    <w:pPr>
      <w:pStyle w:val="Zpat"/>
      <w:jc w:val="right"/>
      <w:rPr>
        <w:rFonts w:ascii="Arial" w:hAnsi="Arial" w:cs="Arial"/>
        <w:color w:val="808080"/>
        <w:sz w:val="20"/>
        <w:szCs w:val="20"/>
      </w:rPr>
    </w:pPr>
    <w:r w:rsidRPr="00772728">
      <w:rPr>
        <w:rFonts w:ascii="Arial" w:hAnsi="Arial" w:cs="Arial"/>
        <w:color w:val="808080"/>
        <w:sz w:val="20"/>
        <w:szCs w:val="20"/>
      </w:rPr>
      <w:t xml:space="preserve">Stránka </w:t>
    </w:r>
    <w:r w:rsidRPr="00772728">
      <w:rPr>
        <w:rFonts w:ascii="Arial" w:hAnsi="Arial" w:cs="Arial"/>
        <w:bCs/>
        <w:color w:val="808080"/>
        <w:sz w:val="20"/>
        <w:szCs w:val="20"/>
      </w:rPr>
      <w:fldChar w:fldCharType="begin"/>
    </w:r>
    <w:r w:rsidRPr="00772728">
      <w:rPr>
        <w:rFonts w:ascii="Arial" w:hAnsi="Arial" w:cs="Arial"/>
        <w:bCs/>
        <w:color w:val="808080"/>
        <w:sz w:val="20"/>
        <w:szCs w:val="20"/>
      </w:rPr>
      <w:instrText>PAGE</w:instrText>
    </w:r>
    <w:r w:rsidRPr="00772728">
      <w:rPr>
        <w:rFonts w:ascii="Arial" w:hAnsi="Arial" w:cs="Arial"/>
        <w:bCs/>
        <w:color w:val="808080"/>
        <w:sz w:val="20"/>
        <w:szCs w:val="20"/>
      </w:rPr>
      <w:fldChar w:fldCharType="separate"/>
    </w:r>
    <w:r w:rsidR="00D84E20">
      <w:rPr>
        <w:rFonts w:ascii="Arial" w:hAnsi="Arial" w:cs="Arial"/>
        <w:bCs/>
        <w:noProof/>
        <w:color w:val="808080"/>
        <w:sz w:val="20"/>
        <w:szCs w:val="20"/>
      </w:rPr>
      <w:t>12</w:t>
    </w:r>
    <w:r w:rsidRPr="00772728">
      <w:rPr>
        <w:rFonts w:ascii="Arial" w:hAnsi="Arial" w:cs="Arial"/>
        <w:bCs/>
        <w:color w:val="808080"/>
        <w:sz w:val="20"/>
        <w:szCs w:val="20"/>
      </w:rPr>
      <w:fldChar w:fldCharType="end"/>
    </w:r>
    <w:r w:rsidRPr="00772728">
      <w:rPr>
        <w:rFonts w:ascii="Arial" w:hAnsi="Arial" w:cs="Arial"/>
        <w:color w:val="808080"/>
        <w:sz w:val="20"/>
        <w:szCs w:val="20"/>
      </w:rPr>
      <w:t xml:space="preserve"> z </w:t>
    </w:r>
    <w:r w:rsidRPr="00772728">
      <w:rPr>
        <w:rFonts w:ascii="Arial" w:hAnsi="Arial" w:cs="Arial"/>
        <w:bCs/>
        <w:color w:val="808080"/>
        <w:sz w:val="20"/>
        <w:szCs w:val="20"/>
      </w:rPr>
      <w:fldChar w:fldCharType="begin"/>
    </w:r>
    <w:r w:rsidRPr="00772728">
      <w:rPr>
        <w:rFonts w:ascii="Arial" w:hAnsi="Arial" w:cs="Arial"/>
        <w:bCs/>
        <w:color w:val="808080"/>
        <w:sz w:val="20"/>
        <w:szCs w:val="20"/>
      </w:rPr>
      <w:instrText>NUMPAGES</w:instrText>
    </w:r>
    <w:r w:rsidRPr="00772728">
      <w:rPr>
        <w:rFonts w:ascii="Arial" w:hAnsi="Arial" w:cs="Arial"/>
        <w:bCs/>
        <w:color w:val="808080"/>
        <w:sz w:val="20"/>
        <w:szCs w:val="20"/>
      </w:rPr>
      <w:fldChar w:fldCharType="separate"/>
    </w:r>
    <w:r w:rsidR="00D84E20">
      <w:rPr>
        <w:rFonts w:ascii="Arial" w:hAnsi="Arial" w:cs="Arial"/>
        <w:bCs/>
        <w:noProof/>
        <w:color w:val="808080"/>
        <w:sz w:val="20"/>
        <w:szCs w:val="20"/>
      </w:rPr>
      <w:t>13</w:t>
    </w:r>
    <w:r w:rsidRPr="00772728">
      <w:rPr>
        <w:rFonts w:ascii="Arial" w:hAnsi="Arial" w:cs="Arial"/>
        <w:bCs/>
        <w:color w:val="808080"/>
        <w:sz w:val="20"/>
        <w:szCs w:val="20"/>
      </w:rPr>
      <w:fldChar w:fldCharType="end"/>
    </w:r>
  </w:p>
  <w:p w14:paraId="3A9C4C81" w14:textId="77777777" w:rsidR="0084644B" w:rsidRDefault="008464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A5A3" w14:textId="77777777" w:rsidR="0084644B" w:rsidRDefault="0084644B">
    <w:pPr>
      <w:pStyle w:val="Zpa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9EA6" w14:textId="77777777" w:rsidR="00D347B0" w:rsidRDefault="00D347B0" w:rsidP="001135F4">
      <w:pPr>
        <w:spacing w:after="0" w:line="240" w:lineRule="auto"/>
      </w:pPr>
      <w:r>
        <w:separator/>
      </w:r>
    </w:p>
  </w:footnote>
  <w:footnote w:type="continuationSeparator" w:id="0">
    <w:p w14:paraId="1380E034" w14:textId="77777777" w:rsidR="00D347B0" w:rsidRDefault="00D347B0" w:rsidP="001135F4">
      <w:pPr>
        <w:spacing w:after="0" w:line="240" w:lineRule="auto"/>
      </w:pPr>
      <w:r>
        <w:continuationSeparator/>
      </w:r>
    </w:p>
  </w:footnote>
  <w:footnote w:id="1">
    <w:p w14:paraId="276A7284" w14:textId="77777777" w:rsidR="009D5186" w:rsidRDefault="009D5186" w:rsidP="009D5186">
      <w:pPr>
        <w:pStyle w:val="Textpoznpodarou"/>
      </w:pPr>
      <w:r>
        <w:rPr>
          <w:rStyle w:val="Znakapoznpodarou"/>
        </w:rPr>
        <w:footnoteRef/>
      </w:r>
      <w:r>
        <w:t xml:space="preserve"> Standardní </w:t>
      </w:r>
      <w:proofErr w:type="spellStart"/>
      <w:r>
        <w:t>Eurobarometr</w:t>
      </w:r>
      <w:proofErr w:type="spellEnd"/>
      <w:r>
        <w:t xml:space="preserve"> č. 95, zveřejněný v září 2021. </w:t>
      </w:r>
    </w:p>
  </w:footnote>
  <w:footnote w:id="2">
    <w:p w14:paraId="3F5F3795" w14:textId="1EF72FD1" w:rsidR="002C2144" w:rsidRPr="00FB55AC" w:rsidRDefault="002C2144" w:rsidP="002C2144">
      <w:pPr>
        <w:pStyle w:val="Textpoznpodarou"/>
        <w:mirrorIndents/>
        <w:jc w:val="both"/>
        <w:rPr>
          <w:rFonts w:ascii="Arial" w:hAnsi="Arial" w:cs="Arial"/>
          <w:sz w:val="18"/>
          <w:szCs w:val="18"/>
        </w:rPr>
      </w:pPr>
      <w:r w:rsidRPr="00FB55AC">
        <w:rPr>
          <w:rStyle w:val="Znakapoznpodarou"/>
          <w:rFonts w:ascii="Arial" w:hAnsi="Arial" w:cs="Arial"/>
          <w:sz w:val="18"/>
          <w:szCs w:val="18"/>
        </w:rPr>
        <w:footnoteRef/>
      </w:r>
      <w:r w:rsidRPr="00FB55AC">
        <w:rPr>
          <w:rFonts w:ascii="Arial" w:hAnsi="Arial" w:cs="Arial"/>
          <w:sz w:val="18"/>
          <w:szCs w:val="18"/>
        </w:rPr>
        <w:t xml:space="preserve"> </w:t>
      </w:r>
      <w:r>
        <w:t>Důvěra v evropské a mezinárodní instituce</w:t>
      </w:r>
      <w:r>
        <w:rPr>
          <w:rFonts w:ascii="Arial" w:hAnsi="Arial" w:cs="Arial"/>
          <w:sz w:val="18"/>
          <w:szCs w:val="18"/>
        </w:rPr>
        <w:t>, CVVM, červenec 2021</w:t>
      </w:r>
      <w:r w:rsidRPr="00FB55AC">
        <w:rPr>
          <w:rFonts w:ascii="Arial" w:hAnsi="Arial" w:cs="Arial"/>
          <w:sz w:val="18"/>
          <w:szCs w:val="18"/>
        </w:rPr>
        <w:t>.</w:t>
      </w:r>
    </w:p>
  </w:footnote>
  <w:footnote w:id="3">
    <w:p w14:paraId="0E33A0C0" w14:textId="1D117E6A" w:rsidR="005129BC" w:rsidRDefault="005129BC">
      <w:pPr>
        <w:pStyle w:val="Textpoznpodarou"/>
      </w:pPr>
      <w:r>
        <w:rPr>
          <w:rStyle w:val="Znakapoznpodarou"/>
        </w:rPr>
        <w:footnoteRef/>
      </w:r>
      <w:r>
        <w:t xml:space="preserve"> Postoj veřejnosti k předsednictví ČR Evropské unii, Průzkum STEM pro Úřad vlády, září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22D1" w14:textId="77777777" w:rsidR="0084644B" w:rsidRPr="00A14818" w:rsidRDefault="0084644B" w:rsidP="00772728">
    <w:pPr>
      <w:pStyle w:val="Zhlav"/>
      <w:tabs>
        <w:tab w:val="left" w:pos="201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0A0" w:firstRow="1" w:lastRow="0" w:firstColumn="1" w:lastColumn="0" w:noHBand="0" w:noVBand="0"/>
    </w:tblPr>
    <w:tblGrid>
      <w:gridCol w:w="6345"/>
      <w:gridCol w:w="3544"/>
    </w:tblGrid>
    <w:tr w:rsidR="0084644B" w:rsidRPr="00B3024C" w14:paraId="52B3247D" w14:textId="77777777" w:rsidTr="00C512B1">
      <w:tc>
        <w:tcPr>
          <w:tcW w:w="6345" w:type="dxa"/>
        </w:tcPr>
        <w:p w14:paraId="5624B3BB" w14:textId="77777777" w:rsidR="0084644B" w:rsidRPr="00B3024C" w:rsidRDefault="0084644B" w:rsidP="00C25F1F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B3024C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B3024C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Pr="00B3024C">
            <w:rPr>
              <w:rFonts w:ascii="Cambria" w:hAnsi="Cambria" w:cs="Arial"/>
              <w:color w:val="1F497D"/>
              <w:sz w:val="28"/>
              <w:szCs w:val="26"/>
            </w:rPr>
            <w:t>Odbor komunikace o evropských záležitostech</w:t>
          </w:r>
        </w:p>
      </w:tc>
      <w:tc>
        <w:tcPr>
          <w:tcW w:w="3544" w:type="dxa"/>
        </w:tcPr>
        <w:p w14:paraId="590FEAE4" w14:textId="77777777" w:rsidR="0084644B" w:rsidRPr="00B3024C" w:rsidRDefault="0084644B" w:rsidP="00C512B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49D63C4A" wp14:editId="3AD3BFB8">
                <wp:extent cx="1771650" cy="523875"/>
                <wp:effectExtent l="0" t="0" r="0" b="9525"/>
                <wp:docPr id="1" name="Obrázek 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8BAC52" w14:textId="77777777" w:rsidR="0084644B" w:rsidRPr="006D2F96" w:rsidRDefault="0084644B" w:rsidP="006D2F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BD1"/>
    <w:multiLevelType w:val="hybridMultilevel"/>
    <w:tmpl w:val="C776A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47B"/>
    <w:multiLevelType w:val="hybridMultilevel"/>
    <w:tmpl w:val="8E12B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360"/>
    <w:multiLevelType w:val="hybridMultilevel"/>
    <w:tmpl w:val="75129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81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474D"/>
    <w:multiLevelType w:val="hybridMultilevel"/>
    <w:tmpl w:val="3814C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6F99"/>
    <w:multiLevelType w:val="hybridMultilevel"/>
    <w:tmpl w:val="41AA7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0E21"/>
    <w:multiLevelType w:val="hybridMultilevel"/>
    <w:tmpl w:val="584A7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B67"/>
    <w:multiLevelType w:val="hybridMultilevel"/>
    <w:tmpl w:val="31504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3753"/>
    <w:multiLevelType w:val="hybridMultilevel"/>
    <w:tmpl w:val="D5469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EC1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630E"/>
    <w:multiLevelType w:val="hybridMultilevel"/>
    <w:tmpl w:val="AFAE42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1BA4"/>
    <w:multiLevelType w:val="hybridMultilevel"/>
    <w:tmpl w:val="19846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5AEA"/>
    <w:multiLevelType w:val="hybridMultilevel"/>
    <w:tmpl w:val="102A6C54"/>
    <w:lvl w:ilvl="0" w:tplc="165AD3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1B86"/>
    <w:multiLevelType w:val="hybridMultilevel"/>
    <w:tmpl w:val="21B478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F25154"/>
    <w:multiLevelType w:val="hybridMultilevel"/>
    <w:tmpl w:val="7082A7A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481309"/>
    <w:multiLevelType w:val="hybridMultilevel"/>
    <w:tmpl w:val="CC0EB5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31CBA"/>
    <w:multiLevelType w:val="hybridMultilevel"/>
    <w:tmpl w:val="60D09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6A68"/>
    <w:multiLevelType w:val="hybridMultilevel"/>
    <w:tmpl w:val="AE3EF9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9AB"/>
    <w:multiLevelType w:val="hybridMultilevel"/>
    <w:tmpl w:val="B6543A4A"/>
    <w:lvl w:ilvl="0" w:tplc="C4A8DB8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 w15:restartNumberingAfterBreak="0">
    <w:nsid w:val="2F95190B"/>
    <w:multiLevelType w:val="hybridMultilevel"/>
    <w:tmpl w:val="F62A4E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F7205"/>
    <w:multiLevelType w:val="hybridMultilevel"/>
    <w:tmpl w:val="0C7C4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819FC"/>
    <w:multiLevelType w:val="hybridMultilevel"/>
    <w:tmpl w:val="11206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A3200"/>
    <w:multiLevelType w:val="hybridMultilevel"/>
    <w:tmpl w:val="BF501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6601A4"/>
    <w:multiLevelType w:val="hybridMultilevel"/>
    <w:tmpl w:val="5DFE3F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B35D6B"/>
    <w:multiLevelType w:val="hybridMultilevel"/>
    <w:tmpl w:val="4D4E0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73EB4"/>
    <w:multiLevelType w:val="hybridMultilevel"/>
    <w:tmpl w:val="A3F8DA34"/>
    <w:lvl w:ilvl="0" w:tplc="0405000D">
      <w:start w:val="1"/>
      <w:numFmt w:val="bullet"/>
      <w:lvlText w:val=""/>
      <w:lvlJc w:val="left"/>
      <w:pPr>
        <w:ind w:left="28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4" w15:restartNumberingAfterBreak="0">
    <w:nsid w:val="3C9A1862"/>
    <w:multiLevelType w:val="hybridMultilevel"/>
    <w:tmpl w:val="3E2A56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582454"/>
    <w:multiLevelType w:val="hybridMultilevel"/>
    <w:tmpl w:val="357E839E"/>
    <w:lvl w:ilvl="0" w:tplc="05EC8AB2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3560"/>
    <w:multiLevelType w:val="hybridMultilevel"/>
    <w:tmpl w:val="BA8C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9015A"/>
    <w:multiLevelType w:val="hybridMultilevel"/>
    <w:tmpl w:val="08560A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95874"/>
    <w:multiLevelType w:val="hybridMultilevel"/>
    <w:tmpl w:val="73B8C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82E9E"/>
    <w:multiLevelType w:val="hybridMultilevel"/>
    <w:tmpl w:val="39225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067A"/>
    <w:multiLevelType w:val="hybridMultilevel"/>
    <w:tmpl w:val="12E09D66"/>
    <w:lvl w:ilvl="0" w:tplc="165AD3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27C61"/>
    <w:multiLevelType w:val="hybridMultilevel"/>
    <w:tmpl w:val="C272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B673B"/>
    <w:multiLevelType w:val="hybridMultilevel"/>
    <w:tmpl w:val="1130B0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F6090"/>
    <w:multiLevelType w:val="hybridMultilevel"/>
    <w:tmpl w:val="E7B2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32D48"/>
    <w:multiLevelType w:val="hybridMultilevel"/>
    <w:tmpl w:val="AD12382E"/>
    <w:lvl w:ilvl="0" w:tplc="C4A8DB8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6D6EC2"/>
    <w:multiLevelType w:val="hybridMultilevel"/>
    <w:tmpl w:val="7E66846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DC3E0F"/>
    <w:multiLevelType w:val="hybridMultilevel"/>
    <w:tmpl w:val="F4B0B076"/>
    <w:lvl w:ilvl="0" w:tplc="165AD3C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E40902"/>
    <w:multiLevelType w:val="hybridMultilevel"/>
    <w:tmpl w:val="936045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446357"/>
    <w:multiLevelType w:val="hybridMultilevel"/>
    <w:tmpl w:val="76DA0D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0C412B8"/>
    <w:multiLevelType w:val="hybridMultilevel"/>
    <w:tmpl w:val="AE4AF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90894"/>
    <w:multiLevelType w:val="hybridMultilevel"/>
    <w:tmpl w:val="A26A569E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645B436B"/>
    <w:multiLevelType w:val="hybridMultilevel"/>
    <w:tmpl w:val="5AA86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75CEE"/>
    <w:multiLevelType w:val="hybridMultilevel"/>
    <w:tmpl w:val="BB6A7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B67E8"/>
    <w:multiLevelType w:val="hybridMultilevel"/>
    <w:tmpl w:val="E292BA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94428A"/>
    <w:multiLevelType w:val="hybridMultilevel"/>
    <w:tmpl w:val="C7C8FE0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8651886"/>
    <w:multiLevelType w:val="hybridMultilevel"/>
    <w:tmpl w:val="0CE655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AE64EB"/>
    <w:multiLevelType w:val="hybridMultilevel"/>
    <w:tmpl w:val="C3587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951BC"/>
    <w:multiLevelType w:val="hybridMultilevel"/>
    <w:tmpl w:val="BDD64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0"/>
  </w:num>
  <w:num w:numId="4">
    <w:abstractNumId w:val="37"/>
  </w:num>
  <w:num w:numId="5">
    <w:abstractNumId w:val="21"/>
  </w:num>
  <w:num w:numId="6">
    <w:abstractNumId w:val="11"/>
  </w:num>
  <w:num w:numId="7">
    <w:abstractNumId w:val="0"/>
  </w:num>
  <w:num w:numId="8">
    <w:abstractNumId w:val="3"/>
  </w:num>
  <w:num w:numId="9">
    <w:abstractNumId w:val="41"/>
  </w:num>
  <w:num w:numId="10">
    <w:abstractNumId w:val="44"/>
  </w:num>
  <w:num w:numId="11">
    <w:abstractNumId w:val="39"/>
  </w:num>
  <w:num w:numId="12">
    <w:abstractNumId w:val="23"/>
  </w:num>
  <w:num w:numId="13">
    <w:abstractNumId w:val="40"/>
  </w:num>
  <w:num w:numId="14">
    <w:abstractNumId w:val="43"/>
  </w:num>
  <w:num w:numId="15">
    <w:abstractNumId w:val="17"/>
  </w:num>
  <w:num w:numId="16">
    <w:abstractNumId w:val="12"/>
  </w:num>
  <w:num w:numId="17">
    <w:abstractNumId w:val="27"/>
  </w:num>
  <w:num w:numId="18">
    <w:abstractNumId w:val="13"/>
  </w:num>
  <w:num w:numId="19">
    <w:abstractNumId w:val="8"/>
  </w:num>
  <w:num w:numId="20">
    <w:abstractNumId w:val="45"/>
  </w:num>
  <w:num w:numId="21">
    <w:abstractNumId w:val="29"/>
  </w:num>
  <w:num w:numId="22">
    <w:abstractNumId w:val="16"/>
  </w:num>
  <w:num w:numId="23">
    <w:abstractNumId w:val="34"/>
  </w:num>
  <w:num w:numId="24">
    <w:abstractNumId w:val="26"/>
  </w:num>
  <w:num w:numId="25">
    <w:abstractNumId w:val="19"/>
  </w:num>
  <w:num w:numId="26">
    <w:abstractNumId w:val="7"/>
  </w:num>
  <w:num w:numId="27">
    <w:abstractNumId w:val="9"/>
  </w:num>
  <w:num w:numId="28">
    <w:abstractNumId w:val="4"/>
  </w:num>
  <w:num w:numId="29">
    <w:abstractNumId w:val="5"/>
  </w:num>
  <w:num w:numId="30">
    <w:abstractNumId w:val="14"/>
  </w:num>
  <w:num w:numId="31">
    <w:abstractNumId w:val="6"/>
  </w:num>
  <w:num w:numId="32">
    <w:abstractNumId w:val="1"/>
  </w:num>
  <w:num w:numId="33">
    <w:abstractNumId w:val="47"/>
  </w:num>
  <w:num w:numId="34">
    <w:abstractNumId w:val="28"/>
  </w:num>
  <w:num w:numId="35">
    <w:abstractNumId w:val="22"/>
  </w:num>
  <w:num w:numId="36">
    <w:abstractNumId w:val="33"/>
  </w:num>
  <w:num w:numId="37">
    <w:abstractNumId w:val="32"/>
  </w:num>
  <w:num w:numId="38">
    <w:abstractNumId w:val="20"/>
  </w:num>
  <w:num w:numId="39">
    <w:abstractNumId w:val="2"/>
  </w:num>
  <w:num w:numId="40">
    <w:abstractNumId w:val="15"/>
  </w:num>
  <w:num w:numId="41">
    <w:abstractNumId w:val="38"/>
  </w:num>
  <w:num w:numId="42">
    <w:abstractNumId w:val="42"/>
  </w:num>
  <w:num w:numId="43">
    <w:abstractNumId w:val="25"/>
  </w:num>
  <w:num w:numId="44">
    <w:abstractNumId w:val="46"/>
  </w:num>
  <w:num w:numId="45">
    <w:abstractNumId w:val="31"/>
  </w:num>
  <w:num w:numId="46">
    <w:abstractNumId w:val="18"/>
  </w:num>
  <w:num w:numId="47">
    <w:abstractNumId w:val="2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06"/>
    <w:rsid w:val="000001EF"/>
    <w:rsid w:val="00001EEF"/>
    <w:rsid w:val="000020C7"/>
    <w:rsid w:val="0000287B"/>
    <w:rsid w:val="000044B8"/>
    <w:rsid w:val="00005298"/>
    <w:rsid w:val="0001134F"/>
    <w:rsid w:val="00011D34"/>
    <w:rsid w:val="00011FE5"/>
    <w:rsid w:val="000122A5"/>
    <w:rsid w:val="00012892"/>
    <w:rsid w:val="00014729"/>
    <w:rsid w:val="00016A14"/>
    <w:rsid w:val="0001727E"/>
    <w:rsid w:val="000175C0"/>
    <w:rsid w:val="00017E37"/>
    <w:rsid w:val="000200BE"/>
    <w:rsid w:val="00021952"/>
    <w:rsid w:val="00023899"/>
    <w:rsid w:val="00025DC0"/>
    <w:rsid w:val="00026348"/>
    <w:rsid w:val="000304B1"/>
    <w:rsid w:val="000305D3"/>
    <w:rsid w:val="00030B01"/>
    <w:rsid w:val="0003186D"/>
    <w:rsid w:val="00032134"/>
    <w:rsid w:val="00032E4B"/>
    <w:rsid w:val="00033985"/>
    <w:rsid w:val="000346DF"/>
    <w:rsid w:val="0003476B"/>
    <w:rsid w:val="000348A1"/>
    <w:rsid w:val="000349A8"/>
    <w:rsid w:val="00034D3D"/>
    <w:rsid w:val="00035B42"/>
    <w:rsid w:val="00036962"/>
    <w:rsid w:val="00037EC5"/>
    <w:rsid w:val="000408CE"/>
    <w:rsid w:val="00042A15"/>
    <w:rsid w:val="0004411E"/>
    <w:rsid w:val="0004480B"/>
    <w:rsid w:val="00044D88"/>
    <w:rsid w:val="00045B60"/>
    <w:rsid w:val="000461F1"/>
    <w:rsid w:val="00055341"/>
    <w:rsid w:val="00056662"/>
    <w:rsid w:val="0006274A"/>
    <w:rsid w:val="00062DE3"/>
    <w:rsid w:val="00062E3E"/>
    <w:rsid w:val="00064D22"/>
    <w:rsid w:val="00066FEC"/>
    <w:rsid w:val="00067DE0"/>
    <w:rsid w:val="00071B52"/>
    <w:rsid w:val="000728A3"/>
    <w:rsid w:val="000733A3"/>
    <w:rsid w:val="000738CC"/>
    <w:rsid w:val="000746E5"/>
    <w:rsid w:val="000769AE"/>
    <w:rsid w:val="00076E8F"/>
    <w:rsid w:val="00083317"/>
    <w:rsid w:val="000843A8"/>
    <w:rsid w:val="00085086"/>
    <w:rsid w:val="00085306"/>
    <w:rsid w:val="00085FA0"/>
    <w:rsid w:val="000864CA"/>
    <w:rsid w:val="0008710C"/>
    <w:rsid w:val="0009040E"/>
    <w:rsid w:val="00092E7F"/>
    <w:rsid w:val="00093005"/>
    <w:rsid w:val="00094DC7"/>
    <w:rsid w:val="00096395"/>
    <w:rsid w:val="00097B02"/>
    <w:rsid w:val="000A1355"/>
    <w:rsid w:val="000A1389"/>
    <w:rsid w:val="000A1F70"/>
    <w:rsid w:val="000A23F2"/>
    <w:rsid w:val="000A422B"/>
    <w:rsid w:val="000A4563"/>
    <w:rsid w:val="000A7574"/>
    <w:rsid w:val="000A7C42"/>
    <w:rsid w:val="000B2ACE"/>
    <w:rsid w:val="000B3B95"/>
    <w:rsid w:val="000B4273"/>
    <w:rsid w:val="000B574A"/>
    <w:rsid w:val="000C0850"/>
    <w:rsid w:val="000C4CDF"/>
    <w:rsid w:val="000C507F"/>
    <w:rsid w:val="000C74EC"/>
    <w:rsid w:val="000D1941"/>
    <w:rsid w:val="000D21A0"/>
    <w:rsid w:val="000D5616"/>
    <w:rsid w:val="000D5FA7"/>
    <w:rsid w:val="000E2317"/>
    <w:rsid w:val="000E2EE3"/>
    <w:rsid w:val="000E31C8"/>
    <w:rsid w:val="000E448B"/>
    <w:rsid w:val="000E47D2"/>
    <w:rsid w:val="000E6E38"/>
    <w:rsid w:val="000E7CAE"/>
    <w:rsid w:val="000F2CD6"/>
    <w:rsid w:val="000F2F91"/>
    <w:rsid w:val="000F48E4"/>
    <w:rsid w:val="000F5C90"/>
    <w:rsid w:val="000F5E1C"/>
    <w:rsid w:val="000F7389"/>
    <w:rsid w:val="00101147"/>
    <w:rsid w:val="00101325"/>
    <w:rsid w:val="00101890"/>
    <w:rsid w:val="001019E4"/>
    <w:rsid w:val="001105EE"/>
    <w:rsid w:val="00112EE3"/>
    <w:rsid w:val="001135F4"/>
    <w:rsid w:val="00113FA0"/>
    <w:rsid w:val="00115B15"/>
    <w:rsid w:val="00116A42"/>
    <w:rsid w:val="0011773E"/>
    <w:rsid w:val="00121587"/>
    <w:rsid w:val="00121EC4"/>
    <w:rsid w:val="001239B9"/>
    <w:rsid w:val="00124DB8"/>
    <w:rsid w:val="001255E4"/>
    <w:rsid w:val="001256F3"/>
    <w:rsid w:val="0013379E"/>
    <w:rsid w:val="00133C90"/>
    <w:rsid w:val="00136894"/>
    <w:rsid w:val="001379EE"/>
    <w:rsid w:val="00137AF7"/>
    <w:rsid w:val="00137E77"/>
    <w:rsid w:val="001424CB"/>
    <w:rsid w:val="0014357F"/>
    <w:rsid w:val="00144924"/>
    <w:rsid w:val="00144FA3"/>
    <w:rsid w:val="0014526A"/>
    <w:rsid w:val="00145315"/>
    <w:rsid w:val="0014602A"/>
    <w:rsid w:val="00146D6C"/>
    <w:rsid w:val="00152837"/>
    <w:rsid w:val="001603B0"/>
    <w:rsid w:val="001607F6"/>
    <w:rsid w:val="001617C0"/>
    <w:rsid w:val="0016761E"/>
    <w:rsid w:val="00172945"/>
    <w:rsid w:val="001737EB"/>
    <w:rsid w:val="0017795C"/>
    <w:rsid w:val="00181405"/>
    <w:rsid w:val="0018549A"/>
    <w:rsid w:val="00186388"/>
    <w:rsid w:val="0018707B"/>
    <w:rsid w:val="00187B12"/>
    <w:rsid w:val="00190456"/>
    <w:rsid w:val="00192BFF"/>
    <w:rsid w:val="001942B7"/>
    <w:rsid w:val="0019733E"/>
    <w:rsid w:val="00197862"/>
    <w:rsid w:val="001A1FBF"/>
    <w:rsid w:val="001A3315"/>
    <w:rsid w:val="001A4609"/>
    <w:rsid w:val="001A63D5"/>
    <w:rsid w:val="001B2B09"/>
    <w:rsid w:val="001B5D58"/>
    <w:rsid w:val="001B5ED4"/>
    <w:rsid w:val="001B6DDC"/>
    <w:rsid w:val="001B71EF"/>
    <w:rsid w:val="001B7979"/>
    <w:rsid w:val="001C0AA4"/>
    <w:rsid w:val="001C163B"/>
    <w:rsid w:val="001C18EA"/>
    <w:rsid w:val="001C7082"/>
    <w:rsid w:val="001D1211"/>
    <w:rsid w:val="001D3A9E"/>
    <w:rsid w:val="001D51D2"/>
    <w:rsid w:val="001D748C"/>
    <w:rsid w:val="001D7949"/>
    <w:rsid w:val="001E23A7"/>
    <w:rsid w:val="001E28DA"/>
    <w:rsid w:val="001E2CEF"/>
    <w:rsid w:val="001E3B92"/>
    <w:rsid w:val="001E5970"/>
    <w:rsid w:val="001F2754"/>
    <w:rsid w:val="001F42FE"/>
    <w:rsid w:val="001F736F"/>
    <w:rsid w:val="002002C5"/>
    <w:rsid w:val="00202BBC"/>
    <w:rsid w:val="00207AE5"/>
    <w:rsid w:val="00207C01"/>
    <w:rsid w:val="00207D7C"/>
    <w:rsid w:val="00207F59"/>
    <w:rsid w:val="002118E6"/>
    <w:rsid w:val="00211915"/>
    <w:rsid w:val="00215B3C"/>
    <w:rsid w:val="00215F29"/>
    <w:rsid w:val="0021705A"/>
    <w:rsid w:val="00220E82"/>
    <w:rsid w:val="00221A87"/>
    <w:rsid w:val="00221D35"/>
    <w:rsid w:val="00221E54"/>
    <w:rsid w:val="002243B7"/>
    <w:rsid w:val="00225871"/>
    <w:rsid w:val="00226C16"/>
    <w:rsid w:val="00231CE3"/>
    <w:rsid w:val="00232DB3"/>
    <w:rsid w:val="00233463"/>
    <w:rsid w:val="00234397"/>
    <w:rsid w:val="00234678"/>
    <w:rsid w:val="00235B60"/>
    <w:rsid w:val="002360E1"/>
    <w:rsid w:val="00237267"/>
    <w:rsid w:val="00237845"/>
    <w:rsid w:val="00237B6C"/>
    <w:rsid w:val="002407D0"/>
    <w:rsid w:val="00241F43"/>
    <w:rsid w:val="00243E3C"/>
    <w:rsid w:val="002459A0"/>
    <w:rsid w:val="00247145"/>
    <w:rsid w:val="002479EB"/>
    <w:rsid w:val="00250259"/>
    <w:rsid w:val="002533A8"/>
    <w:rsid w:val="00254432"/>
    <w:rsid w:val="002558C5"/>
    <w:rsid w:val="002562D0"/>
    <w:rsid w:val="00262D04"/>
    <w:rsid w:val="00264290"/>
    <w:rsid w:val="002649CA"/>
    <w:rsid w:val="00264A81"/>
    <w:rsid w:val="0026608F"/>
    <w:rsid w:val="00266572"/>
    <w:rsid w:val="00267245"/>
    <w:rsid w:val="00273FC3"/>
    <w:rsid w:val="00275126"/>
    <w:rsid w:val="00276261"/>
    <w:rsid w:val="00282D29"/>
    <w:rsid w:val="00283C75"/>
    <w:rsid w:val="0028596C"/>
    <w:rsid w:val="002900BE"/>
    <w:rsid w:val="0029157A"/>
    <w:rsid w:val="00294361"/>
    <w:rsid w:val="00296781"/>
    <w:rsid w:val="002A09D6"/>
    <w:rsid w:val="002A2B37"/>
    <w:rsid w:val="002A2E60"/>
    <w:rsid w:val="002A4046"/>
    <w:rsid w:val="002A785E"/>
    <w:rsid w:val="002B1CD9"/>
    <w:rsid w:val="002B220E"/>
    <w:rsid w:val="002B4392"/>
    <w:rsid w:val="002B4CBB"/>
    <w:rsid w:val="002B69B9"/>
    <w:rsid w:val="002B7D61"/>
    <w:rsid w:val="002C1A79"/>
    <w:rsid w:val="002C2144"/>
    <w:rsid w:val="002C386F"/>
    <w:rsid w:val="002C43AB"/>
    <w:rsid w:val="002C5181"/>
    <w:rsid w:val="002C5B84"/>
    <w:rsid w:val="002C5CC0"/>
    <w:rsid w:val="002C7A36"/>
    <w:rsid w:val="002C7F8C"/>
    <w:rsid w:val="002D3482"/>
    <w:rsid w:val="002D600C"/>
    <w:rsid w:val="002D7BF5"/>
    <w:rsid w:val="002D7E5B"/>
    <w:rsid w:val="002E0358"/>
    <w:rsid w:val="002E0591"/>
    <w:rsid w:val="002E498B"/>
    <w:rsid w:val="002E77D2"/>
    <w:rsid w:val="002F1E04"/>
    <w:rsid w:val="002F4216"/>
    <w:rsid w:val="002F622D"/>
    <w:rsid w:val="002F6620"/>
    <w:rsid w:val="002F7887"/>
    <w:rsid w:val="002F7DB2"/>
    <w:rsid w:val="00301238"/>
    <w:rsid w:val="0030179C"/>
    <w:rsid w:val="00302991"/>
    <w:rsid w:val="00303383"/>
    <w:rsid w:val="00305058"/>
    <w:rsid w:val="003060C6"/>
    <w:rsid w:val="003077FD"/>
    <w:rsid w:val="00307968"/>
    <w:rsid w:val="0031092F"/>
    <w:rsid w:val="003109CD"/>
    <w:rsid w:val="00310C63"/>
    <w:rsid w:val="003115CD"/>
    <w:rsid w:val="003117F1"/>
    <w:rsid w:val="00311B3E"/>
    <w:rsid w:val="00312ABF"/>
    <w:rsid w:val="00313260"/>
    <w:rsid w:val="00315BF6"/>
    <w:rsid w:val="00316B94"/>
    <w:rsid w:val="00317A14"/>
    <w:rsid w:val="00320D48"/>
    <w:rsid w:val="00321E99"/>
    <w:rsid w:val="00322490"/>
    <w:rsid w:val="003225E7"/>
    <w:rsid w:val="00323238"/>
    <w:rsid w:val="00327C79"/>
    <w:rsid w:val="00330BF4"/>
    <w:rsid w:val="00330D1F"/>
    <w:rsid w:val="003324D8"/>
    <w:rsid w:val="00333904"/>
    <w:rsid w:val="00334398"/>
    <w:rsid w:val="003350E5"/>
    <w:rsid w:val="00337314"/>
    <w:rsid w:val="003434E5"/>
    <w:rsid w:val="0035100B"/>
    <w:rsid w:val="00354C44"/>
    <w:rsid w:val="0035577A"/>
    <w:rsid w:val="00355CEA"/>
    <w:rsid w:val="0036074F"/>
    <w:rsid w:val="00361FEE"/>
    <w:rsid w:val="00362AB6"/>
    <w:rsid w:val="00364223"/>
    <w:rsid w:val="00365D96"/>
    <w:rsid w:val="00366503"/>
    <w:rsid w:val="0036723E"/>
    <w:rsid w:val="00367814"/>
    <w:rsid w:val="00373113"/>
    <w:rsid w:val="003731A6"/>
    <w:rsid w:val="00375830"/>
    <w:rsid w:val="00387C9C"/>
    <w:rsid w:val="003911CA"/>
    <w:rsid w:val="00395626"/>
    <w:rsid w:val="00395826"/>
    <w:rsid w:val="00396D15"/>
    <w:rsid w:val="0039726C"/>
    <w:rsid w:val="003973D2"/>
    <w:rsid w:val="003A16C4"/>
    <w:rsid w:val="003A349A"/>
    <w:rsid w:val="003A3924"/>
    <w:rsid w:val="003A40F1"/>
    <w:rsid w:val="003A5A81"/>
    <w:rsid w:val="003A6846"/>
    <w:rsid w:val="003B0BF5"/>
    <w:rsid w:val="003B10FE"/>
    <w:rsid w:val="003B2D92"/>
    <w:rsid w:val="003B3B07"/>
    <w:rsid w:val="003B43CA"/>
    <w:rsid w:val="003B5E62"/>
    <w:rsid w:val="003C0D2C"/>
    <w:rsid w:val="003C10ED"/>
    <w:rsid w:val="003C338E"/>
    <w:rsid w:val="003C49ED"/>
    <w:rsid w:val="003C4AE5"/>
    <w:rsid w:val="003C6D88"/>
    <w:rsid w:val="003C7A0F"/>
    <w:rsid w:val="003D090A"/>
    <w:rsid w:val="003D12D3"/>
    <w:rsid w:val="003D1A2A"/>
    <w:rsid w:val="003D1D84"/>
    <w:rsid w:val="003D1F88"/>
    <w:rsid w:val="003D316E"/>
    <w:rsid w:val="003D428F"/>
    <w:rsid w:val="003D472B"/>
    <w:rsid w:val="003D7AC2"/>
    <w:rsid w:val="003E1D7F"/>
    <w:rsid w:val="003E5872"/>
    <w:rsid w:val="003E6298"/>
    <w:rsid w:val="003F0F00"/>
    <w:rsid w:val="003F1731"/>
    <w:rsid w:val="003F1821"/>
    <w:rsid w:val="003F2911"/>
    <w:rsid w:val="003F30BA"/>
    <w:rsid w:val="003F708B"/>
    <w:rsid w:val="0040017B"/>
    <w:rsid w:val="004004C2"/>
    <w:rsid w:val="004009A3"/>
    <w:rsid w:val="004026CB"/>
    <w:rsid w:val="0040297A"/>
    <w:rsid w:val="00403550"/>
    <w:rsid w:val="00403640"/>
    <w:rsid w:val="00403B02"/>
    <w:rsid w:val="0040412E"/>
    <w:rsid w:val="00405E89"/>
    <w:rsid w:val="00406571"/>
    <w:rsid w:val="004100AB"/>
    <w:rsid w:val="00410FD7"/>
    <w:rsid w:val="00411B40"/>
    <w:rsid w:val="004128DC"/>
    <w:rsid w:val="00412DF5"/>
    <w:rsid w:val="00415BDC"/>
    <w:rsid w:val="0041676A"/>
    <w:rsid w:val="004169E2"/>
    <w:rsid w:val="00421A7F"/>
    <w:rsid w:val="004223FD"/>
    <w:rsid w:val="00425746"/>
    <w:rsid w:val="0042697E"/>
    <w:rsid w:val="00430334"/>
    <w:rsid w:val="00431379"/>
    <w:rsid w:val="00431B47"/>
    <w:rsid w:val="00432F0B"/>
    <w:rsid w:val="00433087"/>
    <w:rsid w:val="004337D2"/>
    <w:rsid w:val="00433C87"/>
    <w:rsid w:val="00433DDC"/>
    <w:rsid w:val="00437609"/>
    <w:rsid w:val="0044023D"/>
    <w:rsid w:val="00443B02"/>
    <w:rsid w:val="00451E4C"/>
    <w:rsid w:val="004548E2"/>
    <w:rsid w:val="00456930"/>
    <w:rsid w:val="00462F8C"/>
    <w:rsid w:val="00463200"/>
    <w:rsid w:val="00466B44"/>
    <w:rsid w:val="00472B0A"/>
    <w:rsid w:val="00472CF1"/>
    <w:rsid w:val="00473E00"/>
    <w:rsid w:val="004742D2"/>
    <w:rsid w:val="00474D72"/>
    <w:rsid w:val="00476BB5"/>
    <w:rsid w:val="00482602"/>
    <w:rsid w:val="00482B3E"/>
    <w:rsid w:val="00483826"/>
    <w:rsid w:val="00484CB4"/>
    <w:rsid w:val="00485BE1"/>
    <w:rsid w:val="004868FF"/>
    <w:rsid w:val="0049136D"/>
    <w:rsid w:val="0049205E"/>
    <w:rsid w:val="004932EC"/>
    <w:rsid w:val="004936E9"/>
    <w:rsid w:val="00493D77"/>
    <w:rsid w:val="0049544C"/>
    <w:rsid w:val="0049558F"/>
    <w:rsid w:val="00495B37"/>
    <w:rsid w:val="00495ED5"/>
    <w:rsid w:val="004A27F2"/>
    <w:rsid w:val="004A2BF2"/>
    <w:rsid w:val="004A73AD"/>
    <w:rsid w:val="004A7BDF"/>
    <w:rsid w:val="004B00C9"/>
    <w:rsid w:val="004B031F"/>
    <w:rsid w:val="004B0A06"/>
    <w:rsid w:val="004B1F67"/>
    <w:rsid w:val="004B49B8"/>
    <w:rsid w:val="004B4EC4"/>
    <w:rsid w:val="004C0C9B"/>
    <w:rsid w:val="004C21A2"/>
    <w:rsid w:val="004C21CE"/>
    <w:rsid w:val="004C5F3E"/>
    <w:rsid w:val="004D2DE9"/>
    <w:rsid w:val="004D34FD"/>
    <w:rsid w:val="004D626A"/>
    <w:rsid w:val="004D75F6"/>
    <w:rsid w:val="004E0FAA"/>
    <w:rsid w:val="004E17AF"/>
    <w:rsid w:val="004E6288"/>
    <w:rsid w:val="004E660C"/>
    <w:rsid w:val="004E73BF"/>
    <w:rsid w:val="004E7533"/>
    <w:rsid w:val="004F1970"/>
    <w:rsid w:val="004F1AD0"/>
    <w:rsid w:val="004F1FA0"/>
    <w:rsid w:val="004F38C0"/>
    <w:rsid w:val="004F4715"/>
    <w:rsid w:val="004F5117"/>
    <w:rsid w:val="004F5B0C"/>
    <w:rsid w:val="004F648B"/>
    <w:rsid w:val="005021E2"/>
    <w:rsid w:val="00502FA3"/>
    <w:rsid w:val="00503051"/>
    <w:rsid w:val="00505D1C"/>
    <w:rsid w:val="00506E4B"/>
    <w:rsid w:val="005113EC"/>
    <w:rsid w:val="0051184C"/>
    <w:rsid w:val="005129BC"/>
    <w:rsid w:val="00513143"/>
    <w:rsid w:val="00513270"/>
    <w:rsid w:val="005164B2"/>
    <w:rsid w:val="005166BB"/>
    <w:rsid w:val="005207DE"/>
    <w:rsid w:val="00521205"/>
    <w:rsid w:val="005219CC"/>
    <w:rsid w:val="00522C0D"/>
    <w:rsid w:val="005314F4"/>
    <w:rsid w:val="00532F9A"/>
    <w:rsid w:val="00533C9A"/>
    <w:rsid w:val="00533D66"/>
    <w:rsid w:val="00536227"/>
    <w:rsid w:val="005362B3"/>
    <w:rsid w:val="00536FEF"/>
    <w:rsid w:val="00540477"/>
    <w:rsid w:val="00540BA1"/>
    <w:rsid w:val="00541259"/>
    <w:rsid w:val="00542A95"/>
    <w:rsid w:val="005436B0"/>
    <w:rsid w:val="00543BAA"/>
    <w:rsid w:val="0054487B"/>
    <w:rsid w:val="00544C14"/>
    <w:rsid w:val="00545C70"/>
    <w:rsid w:val="00546BB3"/>
    <w:rsid w:val="005558CD"/>
    <w:rsid w:val="00555B15"/>
    <w:rsid w:val="00557665"/>
    <w:rsid w:val="00557685"/>
    <w:rsid w:val="00557E01"/>
    <w:rsid w:val="005614F8"/>
    <w:rsid w:val="00561E8C"/>
    <w:rsid w:val="005631F6"/>
    <w:rsid w:val="00563D87"/>
    <w:rsid w:val="00565D34"/>
    <w:rsid w:val="005676E0"/>
    <w:rsid w:val="005678F7"/>
    <w:rsid w:val="00567EB7"/>
    <w:rsid w:val="00572974"/>
    <w:rsid w:val="00572AF6"/>
    <w:rsid w:val="00572D2A"/>
    <w:rsid w:val="005733CD"/>
    <w:rsid w:val="00573B54"/>
    <w:rsid w:val="00573DD1"/>
    <w:rsid w:val="005752C4"/>
    <w:rsid w:val="005757CE"/>
    <w:rsid w:val="0058131F"/>
    <w:rsid w:val="00583BEA"/>
    <w:rsid w:val="00584BFD"/>
    <w:rsid w:val="005855B3"/>
    <w:rsid w:val="00592966"/>
    <w:rsid w:val="00592AE9"/>
    <w:rsid w:val="005935BC"/>
    <w:rsid w:val="00593962"/>
    <w:rsid w:val="00593BC5"/>
    <w:rsid w:val="00593DF2"/>
    <w:rsid w:val="0059410A"/>
    <w:rsid w:val="005945B1"/>
    <w:rsid w:val="00594DE8"/>
    <w:rsid w:val="0059671A"/>
    <w:rsid w:val="005A1F05"/>
    <w:rsid w:val="005A403F"/>
    <w:rsid w:val="005A42A5"/>
    <w:rsid w:val="005A4965"/>
    <w:rsid w:val="005A74BB"/>
    <w:rsid w:val="005A7CDE"/>
    <w:rsid w:val="005A7E91"/>
    <w:rsid w:val="005B0B78"/>
    <w:rsid w:val="005B1A83"/>
    <w:rsid w:val="005B3A6D"/>
    <w:rsid w:val="005B5081"/>
    <w:rsid w:val="005B696A"/>
    <w:rsid w:val="005B7E47"/>
    <w:rsid w:val="005C0599"/>
    <w:rsid w:val="005C05CC"/>
    <w:rsid w:val="005C1A07"/>
    <w:rsid w:val="005C233D"/>
    <w:rsid w:val="005C2622"/>
    <w:rsid w:val="005C39EB"/>
    <w:rsid w:val="005D13EE"/>
    <w:rsid w:val="005D491C"/>
    <w:rsid w:val="005D63F5"/>
    <w:rsid w:val="005D6BC5"/>
    <w:rsid w:val="005E05DB"/>
    <w:rsid w:val="005E2FA0"/>
    <w:rsid w:val="005E758A"/>
    <w:rsid w:val="005E7C9D"/>
    <w:rsid w:val="005F226E"/>
    <w:rsid w:val="005F4917"/>
    <w:rsid w:val="005F69D2"/>
    <w:rsid w:val="00601B75"/>
    <w:rsid w:val="00602509"/>
    <w:rsid w:val="006034C7"/>
    <w:rsid w:val="006049F3"/>
    <w:rsid w:val="00607891"/>
    <w:rsid w:val="00611515"/>
    <w:rsid w:val="00613957"/>
    <w:rsid w:val="00613F36"/>
    <w:rsid w:val="00615640"/>
    <w:rsid w:val="00616F36"/>
    <w:rsid w:val="00617FA9"/>
    <w:rsid w:val="006210FF"/>
    <w:rsid w:val="00621196"/>
    <w:rsid w:val="00621257"/>
    <w:rsid w:val="00621CED"/>
    <w:rsid w:val="00622B7D"/>
    <w:rsid w:val="00623A82"/>
    <w:rsid w:val="006242AB"/>
    <w:rsid w:val="00624A22"/>
    <w:rsid w:val="006250F1"/>
    <w:rsid w:val="006251F4"/>
    <w:rsid w:val="00630201"/>
    <w:rsid w:val="00630E96"/>
    <w:rsid w:val="00632AF1"/>
    <w:rsid w:val="006364E2"/>
    <w:rsid w:val="00636924"/>
    <w:rsid w:val="00637665"/>
    <w:rsid w:val="00637D1D"/>
    <w:rsid w:val="00641131"/>
    <w:rsid w:val="0064248C"/>
    <w:rsid w:val="00644FD9"/>
    <w:rsid w:val="00645045"/>
    <w:rsid w:val="0064511B"/>
    <w:rsid w:val="006475E7"/>
    <w:rsid w:val="006516A4"/>
    <w:rsid w:val="00652556"/>
    <w:rsid w:val="00653129"/>
    <w:rsid w:val="00654588"/>
    <w:rsid w:val="0066464E"/>
    <w:rsid w:val="0066707F"/>
    <w:rsid w:val="00667FC0"/>
    <w:rsid w:val="00670330"/>
    <w:rsid w:val="00673B12"/>
    <w:rsid w:val="00673FF4"/>
    <w:rsid w:val="00674834"/>
    <w:rsid w:val="00677817"/>
    <w:rsid w:val="0068077F"/>
    <w:rsid w:val="00683540"/>
    <w:rsid w:val="00684A2B"/>
    <w:rsid w:val="00685A52"/>
    <w:rsid w:val="00686963"/>
    <w:rsid w:val="00690B8B"/>
    <w:rsid w:val="00690BF0"/>
    <w:rsid w:val="00690EAA"/>
    <w:rsid w:val="0069106F"/>
    <w:rsid w:val="00691BC4"/>
    <w:rsid w:val="00696C2C"/>
    <w:rsid w:val="006A1F40"/>
    <w:rsid w:val="006A2232"/>
    <w:rsid w:val="006A2319"/>
    <w:rsid w:val="006A3714"/>
    <w:rsid w:val="006A52E7"/>
    <w:rsid w:val="006A5BC8"/>
    <w:rsid w:val="006B0B22"/>
    <w:rsid w:val="006B2CCC"/>
    <w:rsid w:val="006B390B"/>
    <w:rsid w:val="006B5A9E"/>
    <w:rsid w:val="006B60A9"/>
    <w:rsid w:val="006B6C60"/>
    <w:rsid w:val="006B726E"/>
    <w:rsid w:val="006C015F"/>
    <w:rsid w:val="006C0790"/>
    <w:rsid w:val="006C4548"/>
    <w:rsid w:val="006C4754"/>
    <w:rsid w:val="006C6539"/>
    <w:rsid w:val="006C708A"/>
    <w:rsid w:val="006C7A9E"/>
    <w:rsid w:val="006D2F96"/>
    <w:rsid w:val="006D5DAC"/>
    <w:rsid w:val="006D7141"/>
    <w:rsid w:val="006E0A41"/>
    <w:rsid w:val="006E1631"/>
    <w:rsid w:val="006E2807"/>
    <w:rsid w:val="006E39B0"/>
    <w:rsid w:val="006E48E1"/>
    <w:rsid w:val="006E5547"/>
    <w:rsid w:val="006E5591"/>
    <w:rsid w:val="006E70B1"/>
    <w:rsid w:val="006F04DB"/>
    <w:rsid w:val="006F15B0"/>
    <w:rsid w:val="006F1887"/>
    <w:rsid w:val="006F357F"/>
    <w:rsid w:val="006F50FF"/>
    <w:rsid w:val="006F7284"/>
    <w:rsid w:val="00700782"/>
    <w:rsid w:val="00700975"/>
    <w:rsid w:val="0070155D"/>
    <w:rsid w:val="0070168E"/>
    <w:rsid w:val="00702A41"/>
    <w:rsid w:val="00705496"/>
    <w:rsid w:val="00707042"/>
    <w:rsid w:val="00707296"/>
    <w:rsid w:val="00707A3D"/>
    <w:rsid w:val="00710E6C"/>
    <w:rsid w:val="007126BB"/>
    <w:rsid w:val="007141FC"/>
    <w:rsid w:val="00715EC9"/>
    <w:rsid w:val="00716784"/>
    <w:rsid w:val="00716992"/>
    <w:rsid w:val="00720C6E"/>
    <w:rsid w:val="00723639"/>
    <w:rsid w:val="00723D38"/>
    <w:rsid w:val="00731914"/>
    <w:rsid w:val="007339CD"/>
    <w:rsid w:val="007343D2"/>
    <w:rsid w:val="00735924"/>
    <w:rsid w:val="00737891"/>
    <w:rsid w:val="007420EC"/>
    <w:rsid w:val="00745283"/>
    <w:rsid w:val="007476D6"/>
    <w:rsid w:val="007522EF"/>
    <w:rsid w:val="007558FA"/>
    <w:rsid w:val="00756400"/>
    <w:rsid w:val="007601E4"/>
    <w:rsid w:val="00760A92"/>
    <w:rsid w:val="007614A8"/>
    <w:rsid w:val="00762164"/>
    <w:rsid w:val="007628CE"/>
    <w:rsid w:val="00763207"/>
    <w:rsid w:val="0077254C"/>
    <w:rsid w:val="00772577"/>
    <w:rsid w:val="00772728"/>
    <w:rsid w:val="00772F24"/>
    <w:rsid w:val="007744ED"/>
    <w:rsid w:val="007760F7"/>
    <w:rsid w:val="00776380"/>
    <w:rsid w:val="00783B37"/>
    <w:rsid w:val="00784FC4"/>
    <w:rsid w:val="00785CE6"/>
    <w:rsid w:val="00786375"/>
    <w:rsid w:val="007866A9"/>
    <w:rsid w:val="00787546"/>
    <w:rsid w:val="007913F1"/>
    <w:rsid w:val="0079211D"/>
    <w:rsid w:val="00792179"/>
    <w:rsid w:val="00794427"/>
    <w:rsid w:val="0079469A"/>
    <w:rsid w:val="007956EE"/>
    <w:rsid w:val="007960C8"/>
    <w:rsid w:val="007A0C67"/>
    <w:rsid w:val="007A1ADB"/>
    <w:rsid w:val="007A2EDB"/>
    <w:rsid w:val="007A5B38"/>
    <w:rsid w:val="007A7D5A"/>
    <w:rsid w:val="007A7EE2"/>
    <w:rsid w:val="007B04E1"/>
    <w:rsid w:val="007B0EEC"/>
    <w:rsid w:val="007B2CB2"/>
    <w:rsid w:val="007B2EBD"/>
    <w:rsid w:val="007B54E3"/>
    <w:rsid w:val="007B5EDB"/>
    <w:rsid w:val="007B6237"/>
    <w:rsid w:val="007B7C84"/>
    <w:rsid w:val="007C1055"/>
    <w:rsid w:val="007C6260"/>
    <w:rsid w:val="007D06CF"/>
    <w:rsid w:val="007D236E"/>
    <w:rsid w:val="007D2ACE"/>
    <w:rsid w:val="007D3DAF"/>
    <w:rsid w:val="007D49BE"/>
    <w:rsid w:val="007D69A4"/>
    <w:rsid w:val="007D6B7D"/>
    <w:rsid w:val="007D786B"/>
    <w:rsid w:val="007E042E"/>
    <w:rsid w:val="007E14DC"/>
    <w:rsid w:val="007E20E9"/>
    <w:rsid w:val="007E242E"/>
    <w:rsid w:val="007E5E85"/>
    <w:rsid w:val="007E614D"/>
    <w:rsid w:val="007E71E9"/>
    <w:rsid w:val="007F3FEC"/>
    <w:rsid w:val="007F4DAC"/>
    <w:rsid w:val="007F4F65"/>
    <w:rsid w:val="007F6B51"/>
    <w:rsid w:val="0080097C"/>
    <w:rsid w:val="00801B7D"/>
    <w:rsid w:val="00802E16"/>
    <w:rsid w:val="00803582"/>
    <w:rsid w:val="00805784"/>
    <w:rsid w:val="00805FB1"/>
    <w:rsid w:val="00806C6B"/>
    <w:rsid w:val="008073A9"/>
    <w:rsid w:val="00810EF1"/>
    <w:rsid w:val="0081184A"/>
    <w:rsid w:val="00811C9E"/>
    <w:rsid w:val="0081255D"/>
    <w:rsid w:val="00813227"/>
    <w:rsid w:val="00814177"/>
    <w:rsid w:val="00815498"/>
    <w:rsid w:val="00815CA9"/>
    <w:rsid w:val="00816045"/>
    <w:rsid w:val="00817338"/>
    <w:rsid w:val="00823F84"/>
    <w:rsid w:val="00824911"/>
    <w:rsid w:val="00825055"/>
    <w:rsid w:val="0083369A"/>
    <w:rsid w:val="00837062"/>
    <w:rsid w:val="00840343"/>
    <w:rsid w:val="00843BAE"/>
    <w:rsid w:val="00844083"/>
    <w:rsid w:val="0084644B"/>
    <w:rsid w:val="008464F8"/>
    <w:rsid w:val="008471D7"/>
    <w:rsid w:val="00851C86"/>
    <w:rsid w:val="00852422"/>
    <w:rsid w:val="00853683"/>
    <w:rsid w:val="00856735"/>
    <w:rsid w:val="00860A95"/>
    <w:rsid w:val="0086127D"/>
    <w:rsid w:val="00861D60"/>
    <w:rsid w:val="008625FA"/>
    <w:rsid w:val="00863FEF"/>
    <w:rsid w:val="00864D96"/>
    <w:rsid w:val="00867AC4"/>
    <w:rsid w:val="00867E02"/>
    <w:rsid w:val="0087101F"/>
    <w:rsid w:val="00872500"/>
    <w:rsid w:val="00872ECC"/>
    <w:rsid w:val="00874532"/>
    <w:rsid w:val="00876C6C"/>
    <w:rsid w:val="008774E5"/>
    <w:rsid w:val="008779AE"/>
    <w:rsid w:val="008800D4"/>
    <w:rsid w:val="0088184D"/>
    <w:rsid w:val="00883443"/>
    <w:rsid w:val="008862A2"/>
    <w:rsid w:val="00892C6C"/>
    <w:rsid w:val="00892F6D"/>
    <w:rsid w:val="008A0B89"/>
    <w:rsid w:val="008A25A2"/>
    <w:rsid w:val="008A265C"/>
    <w:rsid w:val="008A48EE"/>
    <w:rsid w:val="008A54A0"/>
    <w:rsid w:val="008A6F27"/>
    <w:rsid w:val="008A759A"/>
    <w:rsid w:val="008B083C"/>
    <w:rsid w:val="008B2F72"/>
    <w:rsid w:val="008B3E00"/>
    <w:rsid w:val="008B5FCB"/>
    <w:rsid w:val="008B664D"/>
    <w:rsid w:val="008B6799"/>
    <w:rsid w:val="008C10F9"/>
    <w:rsid w:val="008C398A"/>
    <w:rsid w:val="008C477F"/>
    <w:rsid w:val="008C4D30"/>
    <w:rsid w:val="008C5100"/>
    <w:rsid w:val="008D0523"/>
    <w:rsid w:val="008D3269"/>
    <w:rsid w:val="008D62AE"/>
    <w:rsid w:val="008E088B"/>
    <w:rsid w:val="008E0C10"/>
    <w:rsid w:val="008E14EC"/>
    <w:rsid w:val="008E24FF"/>
    <w:rsid w:val="008E484E"/>
    <w:rsid w:val="008F25CF"/>
    <w:rsid w:val="008F2EC8"/>
    <w:rsid w:val="008F5338"/>
    <w:rsid w:val="008F6C08"/>
    <w:rsid w:val="008F7E32"/>
    <w:rsid w:val="009005FF"/>
    <w:rsid w:val="0090120C"/>
    <w:rsid w:val="009033F1"/>
    <w:rsid w:val="00904C2C"/>
    <w:rsid w:val="00905AB3"/>
    <w:rsid w:val="00907378"/>
    <w:rsid w:val="00910D76"/>
    <w:rsid w:val="00910F03"/>
    <w:rsid w:val="00911233"/>
    <w:rsid w:val="00911FB3"/>
    <w:rsid w:val="00914148"/>
    <w:rsid w:val="00914649"/>
    <w:rsid w:val="00914A56"/>
    <w:rsid w:val="00914D57"/>
    <w:rsid w:val="0091555D"/>
    <w:rsid w:val="0091606A"/>
    <w:rsid w:val="009170E6"/>
    <w:rsid w:val="0092099A"/>
    <w:rsid w:val="009212BF"/>
    <w:rsid w:val="00921DFD"/>
    <w:rsid w:val="009301B9"/>
    <w:rsid w:val="00931CDF"/>
    <w:rsid w:val="00934390"/>
    <w:rsid w:val="00937A07"/>
    <w:rsid w:val="00937A5C"/>
    <w:rsid w:val="00940994"/>
    <w:rsid w:val="00942A33"/>
    <w:rsid w:val="009437B0"/>
    <w:rsid w:val="00944635"/>
    <w:rsid w:val="00946178"/>
    <w:rsid w:val="0094704C"/>
    <w:rsid w:val="009512C2"/>
    <w:rsid w:val="00951ADD"/>
    <w:rsid w:val="00951C45"/>
    <w:rsid w:val="00953591"/>
    <w:rsid w:val="00953917"/>
    <w:rsid w:val="00955EAE"/>
    <w:rsid w:val="0095699E"/>
    <w:rsid w:val="0096031D"/>
    <w:rsid w:val="00963E9F"/>
    <w:rsid w:val="00966365"/>
    <w:rsid w:val="00966905"/>
    <w:rsid w:val="009716F0"/>
    <w:rsid w:val="00972349"/>
    <w:rsid w:val="00972C01"/>
    <w:rsid w:val="00972F78"/>
    <w:rsid w:val="00976B15"/>
    <w:rsid w:val="0097768F"/>
    <w:rsid w:val="00983802"/>
    <w:rsid w:val="0099078C"/>
    <w:rsid w:val="0099197A"/>
    <w:rsid w:val="00993DA3"/>
    <w:rsid w:val="009949F8"/>
    <w:rsid w:val="00996A6D"/>
    <w:rsid w:val="00996F18"/>
    <w:rsid w:val="009A0255"/>
    <w:rsid w:val="009A06D8"/>
    <w:rsid w:val="009A13E8"/>
    <w:rsid w:val="009A336A"/>
    <w:rsid w:val="009A378D"/>
    <w:rsid w:val="009A4D03"/>
    <w:rsid w:val="009A5996"/>
    <w:rsid w:val="009B033A"/>
    <w:rsid w:val="009C0FDF"/>
    <w:rsid w:val="009C1936"/>
    <w:rsid w:val="009C3D82"/>
    <w:rsid w:val="009C5944"/>
    <w:rsid w:val="009C59C2"/>
    <w:rsid w:val="009C7602"/>
    <w:rsid w:val="009D0AB9"/>
    <w:rsid w:val="009D100D"/>
    <w:rsid w:val="009D14BD"/>
    <w:rsid w:val="009D1644"/>
    <w:rsid w:val="009D5186"/>
    <w:rsid w:val="009D74AA"/>
    <w:rsid w:val="009E05FE"/>
    <w:rsid w:val="009E12DC"/>
    <w:rsid w:val="009E3996"/>
    <w:rsid w:val="009E580D"/>
    <w:rsid w:val="009E5D9D"/>
    <w:rsid w:val="009E5E85"/>
    <w:rsid w:val="009E627B"/>
    <w:rsid w:val="009F2515"/>
    <w:rsid w:val="009F41E8"/>
    <w:rsid w:val="009F4410"/>
    <w:rsid w:val="009F69CE"/>
    <w:rsid w:val="00A00570"/>
    <w:rsid w:val="00A02390"/>
    <w:rsid w:val="00A05C50"/>
    <w:rsid w:val="00A064F9"/>
    <w:rsid w:val="00A108EF"/>
    <w:rsid w:val="00A1192C"/>
    <w:rsid w:val="00A128CC"/>
    <w:rsid w:val="00A1351B"/>
    <w:rsid w:val="00A13AE1"/>
    <w:rsid w:val="00A14818"/>
    <w:rsid w:val="00A15A5D"/>
    <w:rsid w:val="00A2215B"/>
    <w:rsid w:val="00A22C39"/>
    <w:rsid w:val="00A23651"/>
    <w:rsid w:val="00A23822"/>
    <w:rsid w:val="00A243A7"/>
    <w:rsid w:val="00A26E5D"/>
    <w:rsid w:val="00A304BB"/>
    <w:rsid w:val="00A3234B"/>
    <w:rsid w:val="00A3354E"/>
    <w:rsid w:val="00A3372D"/>
    <w:rsid w:val="00A34A07"/>
    <w:rsid w:val="00A34A17"/>
    <w:rsid w:val="00A35373"/>
    <w:rsid w:val="00A372AD"/>
    <w:rsid w:val="00A37840"/>
    <w:rsid w:val="00A40082"/>
    <w:rsid w:val="00A4653D"/>
    <w:rsid w:val="00A469FC"/>
    <w:rsid w:val="00A51161"/>
    <w:rsid w:val="00A51A4F"/>
    <w:rsid w:val="00A532A2"/>
    <w:rsid w:val="00A54D5C"/>
    <w:rsid w:val="00A60D23"/>
    <w:rsid w:val="00A60E78"/>
    <w:rsid w:val="00A6102A"/>
    <w:rsid w:val="00A6398F"/>
    <w:rsid w:val="00A65391"/>
    <w:rsid w:val="00A702E1"/>
    <w:rsid w:val="00A71E29"/>
    <w:rsid w:val="00A7218B"/>
    <w:rsid w:val="00A72CD3"/>
    <w:rsid w:val="00A73899"/>
    <w:rsid w:val="00A74171"/>
    <w:rsid w:val="00A76729"/>
    <w:rsid w:val="00A76886"/>
    <w:rsid w:val="00A77124"/>
    <w:rsid w:val="00A77291"/>
    <w:rsid w:val="00A80AEE"/>
    <w:rsid w:val="00A84182"/>
    <w:rsid w:val="00A85F21"/>
    <w:rsid w:val="00A85F67"/>
    <w:rsid w:val="00A861F5"/>
    <w:rsid w:val="00A87993"/>
    <w:rsid w:val="00A912D8"/>
    <w:rsid w:val="00A9372B"/>
    <w:rsid w:val="00A96ADA"/>
    <w:rsid w:val="00AA0A50"/>
    <w:rsid w:val="00AA0E54"/>
    <w:rsid w:val="00AA45DF"/>
    <w:rsid w:val="00AA47E2"/>
    <w:rsid w:val="00AA5995"/>
    <w:rsid w:val="00AA77A6"/>
    <w:rsid w:val="00AB0E2E"/>
    <w:rsid w:val="00AB7F8F"/>
    <w:rsid w:val="00AC0326"/>
    <w:rsid w:val="00AC06CC"/>
    <w:rsid w:val="00AC1EBD"/>
    <w:rsid w:val="00AC5FD0"/>
    <w:rsid w:val="00AC635E"/>
    <w:rsid w:val="00AC6805"/>
    <w:rsid w:val="00AC6A34"/>
    <w:rsid w:val="00AD0B8C"/>
    <w:rsid w:val="00AD1F69"/>
    <w:rsid w:val="00AD2918"/>
    <w:rsid w:val="00AD2EAE"/>
    <w:rsid w:val="00AD5E52"/>
    <w:rsid w:val="00AD7CA6"/>
    <w:rsid w:val="00AE0183"/>
    <w:rsid w:val="00AE2352"/>
    <w:rsid w:val="00AE3D31"/>
    <w:rsid w:val="00AE4515"/>
    <w:rsid w:val="00AE5D96"/>
    <w:rsid w:val="00AE7201"/>
    <w:rsid w:val="00AF31DE"/>
    <w:rsid w:val="00AF370B"/>
    <w:rsid w:val="00AF44A3"/>
    <w:rsid w:val="00AF4F12"/>
    <w:rsid w:val="00B00675"/>
    <w:rsid w:val="00B027F4"/>
    <w:rsid w:val="00B042C3"/>
    <w:rsid w:val="00B04B02"/>
    <w:rsid w:val="00B054EA"/>
    <w:rsid w:val="00B05703"/>
    <w:rsid w:val="00B11EF8"/>
    <w:rsid w:val="00B14DD3"/>
    <w:rsid w:val="00B16048"/>
    <w:rsid w:val="00B20C7F"/>
    <w:rsid w:val="00B21332"/>
    <w:rsid w:val="00B2184A"/>
    <w:rsid w:val="00B239FF"/>
    <w:rsid w:val="00B24D62"/>
    <w:rsid w:val="00B253EA"/>
    <w:rsid w:val="00B27F4F"/>
    <w:rsid w:val="00B3024C"/>
    <w:rsid w:val="00B317F3"/>
    <w:rsid w:val="00B32C06"/>
    <w:rsid w:val="00B32CA4"/>
    <w:rsid w:val="00B335B8"/>
    <w:rsid w:val="00B34554"/>
    <w:rsid w:val="00B365DB"/>
    <w:rsid w:val="00B3787A"/>
    <w:rsid w:val="00B37F3B"/>
    <w:rsid w:val="00B41CE0"/>
    <w:rsid w:val="00B42FD8"/>
    <w:rsid w:val="00B430C6"/>
    <w:rsid w:val="00B4477E"/>
    <w:rsid w:val="00B448E2"/>
    <w:rsid w:val="00B4750E"/>
    <w:rsid w:val="00B53800"/>
    <w:rsid w:val="00B5410D"/>
    <w:rsid w:val="00B54296"/>
    <w:rsid w:val="00B57742"/>
    <w:rsid w:val="00B62701"/>
    <w:rsid w:val="00B62EB3"/>
    <w:rsid w:val="00B6577C"/>
    <w:rsid w:val="00B65D81"/>
    <w:rsid w:val="00B67B48"/>
    <w:rsid w:val="00B71539"/>
    <w:rsid w:val="00B718AE"/>
    <w:rsid w:val="00B71AFF"/>
    <w:rsid w:val="00B7409C"/>
    <w:rsid w:val="00B7440A"/>
    <w:rsid w:val="00B748D5"/>
    <w:rsid w:val="00B74DD6"/>
    <w:rsid w:val="00B75475"/>
    <w:rsid w:val="00B8136D"/>
    <w:rsid w:val="00B813A7"/>
    <w:rsid w:val="00B84FD8"/>
    <w:rsid w:val="00B861A2"/>
    <w:rsid w:val="00B86B63"/>
    <w:rsid w:val="00B919DA"/>
    <w:rsid w:val="00B925B4"/>
    <w:rsid w:val="00B9462F"/>
    <w:rsid w:val="00B9566E"/>
    <w:rsid w:val="00B9632F"/>
    <w:rsid w:val="00B9663A"/>
    <w:rsid w:val="00B97B99"/>
    <w:rsid w:val="00BA0F4F"/>
    <w:rsid w:val="00BA1091"/>
    <w:rsid w:val="00BA3964"/>
    <w:rsid w:val="00BB06C8"/>
    <w:rsid w:val="00BB2021"/>
    <w:rsid w:val="00BB4706"/>
    <w:rsid w:val="00BB4DBC"/>
    <w:rsid w:val="00BB52F3"/>
    <w:rsid w:val="00BB6745"/>
    <w:rsid w:val="00BC20E5"/>
    <w:rsid w:val="00BC3D04"/>
    <w:rsid w:val="00BC5D82"/>
    <w:rsid w:val="00BD2F1B"/>
    <w:rsid w:val="00BD4AB5"/>
    <w:rsid w:val="00BD6DAD"/>
    <w:rsid w:val="00BD7A84"/>
    <w:rsid w:val="00BE0052"/>
    <w:rsid w:val="00BE08D6"/>
    <w:rsid w:val="00BE22A9"/>
    <w:rsid w:val="00BF0CC5"/>
    <w:rsid w:val="00BF27A5"/>
    <w:rsid w:val="00BF3929"/>
    <w:rsid w:val="00BF5520"/>
    <w:rsid w:val="00BF6E7C"/>
    <w:rsid w:val="00C00736"/>
    <w:rsid w:val="00C0197B"/>
    <w:rsid w:val="00C03F1C"/>
    <w:rsid w:val="00C1054F"/>
    <w:rsid w:val="00C10A84"/>
    <w:rsid w:val="00C15044"/>
    <w:rsid w:val="00C15FAC"/>
    <w:rsid w:val="00C16237"/>
    <w:rsid w:val="00C16DE8"/>
    <w:rsid w:val="00C178FC"/>
    <w:rsid w:val="00C2140E"/>
    <w:rsid w:val="00C2200F"/>
    <w:rsid w:val="00C22609"/>
    <w:rsid w:val="00C22DE7"/>
    <w:rsid w:val="00C244A0"/>
    <w:rsid w:val="00C24870"/>
    <w:rsid w:val="00C25F1F"/>
    <w:rsid w:val="00C2722E"/>
    <w:rsid w:val="00C312E1"/>
    <w:rsid w:val="00C323E7"/>
    <w:rsid w:val="00C347C5"/>
    <w:rsid w:val="00C416EB"/>
    <w:rsid w:val="00C4630D"/>
    <w:rsid w:val="00C507B0"/>
    <w:rsid w:val="00C50BA5"/>
    <w:rsid w:val="00C512B1"/>
    <w:rsid w:val="00C530BE"/>
    <w:rsid w:val="00C54AB6"/>
    <w:rsid w:val="00C54D49"/>
    <w:rsid w:val="00C55291"/>
    <w:rsid w:val="00C5673E"/>
    <w:rsid w:val="00C57AE3"/>
    <w:rsid w:val="00C60A66"/>
    <w:rsid w:val="00C6321C"/>
    <w:rsid w:val="00C633C1"/>
    <w:rsid w:val="00C6593D"/>
    <w:rsid w:val="00C67279"/>
    <w:rsid w:val="00C67F4E"/>
    <w:rsid w:val="00C70EC0"/>
    <w:rsid w:val="00C7191B"/>
    <w:rsid w:val="00C7191C"/>
    <w:rsid w:val="00C72A7C"/>
    <w:rsid w:val="00C736F0"/>
    <w:rsid w:val="00C77D9F"/>
    <w:rsid w:val="00C80C2A"/>
    <w:rsid w:val="00C80C36"/>
    <w:rsid w:val="00C812B4"/>
    <w:rsid w:val="00C817A3"/>
    <w:rsid w:val="00C81F24"/>
    <w:rsid w:val="00C82F2D"/>
    <w:rsid w:val="00C844E6"/>
    <w:rsid w:val="00C845C1"/>
    <w:rsid w:val="00C861F9"/>
    <w:rsid w:val="00C9112D"/>
    <w:rsid w:val="00C912B4"/>
    <w:rsid w:val="00C9166F"/>
    <w:rsid w:val="00C9175B"/>
    <w:rsid w:val="00C91FC1"/>
    <w:rsid w:val="00C920C9"/>
    <w:rsid w:val="00C948D3"/>
    <w:rsid w:val="00C9594F"/>
    <w:rsid w:val="00C96A8A"/>
    <w:rsid w:val="00CA0BB5"/>
    <w:rsid w:val="00CA1B76"/>
    <w:rsid w:val="00CA1C69"/>
    <w:rsid w:val="00CA2A62"/>
    <w:rsid w:val="00CA5882"/>
    <w:rsid w:val="00CA5F01"/>
    <w:rsid w:val="00CA7258"/>
    <w:rsid w:val="00CA72CF"/>
    <w:rsid w:val="00CA7329"/>
    <w:rsid w:val="00CB5668"/>
    <w:rsid w:val="00CB721A"/>
    <w:rsid w:val="00CC0D06"/>
    <w:rsid w:val="00CC0DF2"/>
    <w:rsid w:val="00CC0F37"/>
    <w:rsid w:val="00CC30A2"/>
    <w:rsid w:val="00CC65A5"/>
    <w:rsid w:val="00CC6DD5"/>
    <w:rsid w:val="00CC79F1"/>
    <w:rsid w:val="00CD25BF"/>
    <w:rsid w:val="00CD4BFE"/>
    <w:rsid w:val="00CD5627"/>
    <w:rsid w:val="00CD586A"/>
    <w:rsid w:val="00CE04E1"/>
    <w:rsid w:val="00CE1BA2"/>
    <w:rsid w:val="00CE1E26"/>
    <w:rsid w:val="00CE40FC"/>
    <w:rsid w:val="00CF0366"/>
    <w:rsid w:val="00CF32F1"/>
    <w:rsid w:val="00D00439"/>
    <w:rsid w:val="00D0318D"/>
    <w:rsid w:val="00D0526A"/>
    <w:rsid w:val="00D07353"/>
    <w:rsid w:val="00D10171"/>
    <w:rsid w:val="00D117EA"/>
    <w:rsid w:val="00D2281E"/>
    <w:rsid w:val="00D250D4"/>
    <w:rsid w:val="00D25848"/>
    <w:rsid w:val="00D26C31"/>
    <w:rsid w:val="00D26DBC"/>
    <w:rsid w:val="00D270F9"/>
    <w:rsid w:val="00D330D1"/>
    <w:rsid w:val="00D34474"/>
    <w:rsid w:val="00D347B0"/>
    <w:rsid w:val="00D34B94"/>
    <w:rsid w:val="00D40CB7"/>
    <w:rsid w:val="00D45EE4"/>
    <w:rsid w:val="00D46233"/>
    <w:rsid w:val="00D47921"/>
    <w:rsid w:val="00D47F2D"/>
    <w:rsid w:val="00D50D8A"/>
    <w:rsid w:val="00D546BC"/>
    <w:rsid w:val="00D5614F"/>
    <w:rsid w:val="00D57AF0"/>
    <w:rsid w:val="00D61562"/>
    <w:rsid w:val="00D631FB"/>
    <w:rsid w:val="00D66506"/>
    <w:rsid w:val="00D71A25"/>
    <w:rsid w:val="00D71B5F"/>
    <w:rsid w:val="00D72586"/>
    <w:rsid w:val="00D72C02"/>
    <w:rsid w:val="00D74FA3"/>
    <w:rsid w:val="00D7653C"/>
    <w:rsid w:val="00D76716"/>
    <w:rsid w:val="00D768C7"/>
    <w:rsid w:val="00D80BED"/>
    <w:rsid w:val="00D8122F"/>
    <w:rsid w:val="00D81EFB"/>
    <w:rsid w:val="00D837D2"/>
    <w:rsid w:val="00D84E20"/>
    <w:rsid w:val="00D86AF8"/>
    <w:rsid w:val="00D878B7"/>
    <w:rsid w:val="00D95644"/>
    <w:rsid w:val="00D97612"/>
    <w:rsid w:val="00DA1F05"/>
    <w:rsid w:val="00DA3070"/>
    <w:rsid w:val="00DA3959"/>
    <w:rsid w:val="00DA42BD"/>
    <w:rsid w:val="00DA57A8"/>
    <w:rsid w:val="00DB355F"/>
    <w:rsid w:val="00DB40E1"/>
    <w:rsid w:val="00DB63D1"/>
    <w:rsid w:val="00DC10D3"/>
    <w:rsid w:val="00DC30A2"/>
    <w:rsid w:val="00DC3D60"/>
    <w:rsid w:val="00DC4E8B"/>
    <w:rsid w:val="00DC7735"/>
    <w:rsid w:val="00DC7AD1"/>
    <w:rsid w:val="00DD045A"/>
    <w:rsid w:val="00DD5F40"/>
    <w:rsid w:val="00DD6475"/>
    <w:rsid w:val="00DD70B7"/>
    <w:rsid w:val="00DD7193"/>
    <w:rsid w:val="00DE0253"/>
    <w:rsid w:val="00DE26EE"/>
    <w:rsid w:val="00DE6AD6"/>
    <w:rsid w:val="00DE6B7C"/>
    <w:rsid w:val="00DE7860"/>
    <w:rsid w:val="00DF283A"/>
    <w:rsid w:val="00DF2F11"/>
    <w:rsid w:val="00DF39E3"/>
    <w:rsid w:val="00DF421B"/>
    <w:rsid w:val="00DF4341"/>
    <w:rsid w:val="00DF559B"/>
    <w:rsid w:val="00DF5604"/>
    <w:rsid w:val="00DF5C72"/>
    <w:rsid w:val="00DF6F2A"/>
    <w:rsid w:val="00E033B8"/>
    <w:rsid w:val="00E04E1C"/>
    <w:rsid w:val="00E07104"/>
    <w:rsid w:val="00E104EC"/>
    <w:rsid w:val="00E1103B"/>
    <w:rsid w:val="00E11C2A"/>
    <w:rsid w:val="00E15C97"/>
    <w:rsid w:val="00E21BC1"/>
    <w:rsid w:val="00E23C3C"/>
    <w:rsid w:val="00E23E0F"/>
    <w:rsid w:val="00E27C4B"/>
    <w:rsid w:val="00E32F7E"/>
    <w:rsid w:val="00E33BF7"/>
    <w:rsid w:val="00E34036"/>
    <w:rsid w:val="00E3768A"/>
    <w:rsid w:val="00E37748"/>
    <w:rsid w:val="00E43319"/>
    <w:rsid w:val="00E43336"/>
    <w:rsid w:val="00E43552"/>
    <w:rsid w:val="00E447DF"/>
    <w:rsid w:val="00E46947"/>
    <w:rsid w:val="00E47569"/>
    <w:rsid w:val="00E47F8C"/>
    <w:rsid w:val="00E50041"/>
    <w:rsid w:val="00E5095B"/>
    <w:rsid w:val="00E51730"/>
    <w:rsid w:val="00E53003"/>
    <w:rsid w:val="00E534C4"/>
    <w:rsid w:val="00E569B4"/>
    <w:rsid w:val="00E57C36"/>
    <w:rsid w:val="00E610FD"/>
    <w:rsid w:val="00E61FBF"/>
    <w:rsid w:val="00E62308"/>
    <w:rsid w:val="00E62EF6"/>
    <w:rsid w:val="00E64A89"/>
    <w:rsid w:val="00E65B24"/>
    <w:rsid w:val="00E66553"/>
    <w:rsid w:val="00E720AE"/>
    <w:rsid w:val="00E721C9"/>
    <w:rsid w:val="00E744A0"/>
    <w:rsid w:val="00E74A38"/>
    <w:rsid w:val="00E81985"/>
    <w:rsid w:val="00E8198C"/>
    <w:rsid w:val="00E81BFC"/>
    <w:rsid w:val="00E83E32"/>
    <w:rsid w:val="00E840D3"/>
    <w:rsid w:val="00E85521"/>
    <w:rsid w:val="00E87053"/>
    <w:rsid w:val="00E90D57"/>
    <w:rsid w:val="00E91296"/>
    <w:rsid w:val="00E92DC5"/>
    <w:rsid w:val="00E93CC9"/>
    <w:rsid w:val="00E94414"/>
    <w:rsid w:val="00E944E2"/>
    <w:rsid w:val="00E95853"/>
    <w:rsid w:val="00EA0DB1"/>
    <w:rsid w:val="00EA0FDD"/>
    <w:rsid w:val="00EA17AA"/>
    <w:rsid w:val="00EA320B"/>
    <w:rsid w:val="00EA4940"/>
    <w:rsid w:val="00EA565D"/>
    <w:rsid w:val="00EA5846"/>
    <w:rsid w:val="00EA73EE"/>
    <w:rsid w:val="00EA789E"/>
    <w:rsid w:val="00EB3D96"/>
    <w:rsid w:val="00EB4B1D"/>
    <w:rsid w:val="00EB72A4"/>
    <w:rsid w:val="00EC1B1A"/>
    <w:rsid w:val="00EC52FC"/>
    <w:rsid w:val="00EC7E7A"/>
    <w:rsid w:val="00ED1016"/>
    <w:rsid w:val="00ED2C66"/>
    <w:rsid w:val="00ED60BB"/>
    <w:rsid w:val="00ED70D5"/>
    <w:rsid w:val="00ED7555"/>
    <w:rsid w:val="00EE2086"/>
    <w:rsid w:val="00EE3B8B"/>
    <w:rsid w:val="00EE4491"/>
    <w:rsid w:val="00EE6F2A"/>
    <w:rsid w:val="00EF0A69"/>
    <w:rsid w:val="00EF3388"/>
    <w:rsid w:val="00EF400C"/>
    <w:rsid w:val="00EF5481"/>
    <w:rsid w:val="00F01BC9"/>
    <w:rsid w:val="00F063D3"/>
    <w:rsid w:val="00F1018F"/>
    <w:rsid w:val="00F10F76"/>
    <w:rsid w:val="00F118EC"/>
    <w:rsid w:val="00F14147"/>
    <w:rsid w:val="00F152B9"/>
    <w:rsid w:val="00F15899"/>
    <w:rsid w:val="00F15E52"/>
    <w:rsid w:val="00F176C6"/>
    <w:rsid w:val="00F20719"/>
    <w:rsid w:val="00F221CA"/>
    <w:rsid w:val="00F25C64"/>
    <w:rsid w:val="00F269C2"/>
    <w:rsid w:val="00F26C5E"/>
    <w:rsid w:val="00F30D71"/>
    <w:rsid w:val="00F32D68"/>
    <w:rsid w:val="00F32DD4"/>
    <w:rsid w:val="00F33BB9"/>
    <w:rsid w:val="00F3673E"/>
    <w:rsid w:val="00F368A6"/>
    <w:rsid w:val="00F36E92"/>
    <w:rsid w:val="00F37F4F"/>
    <w:rsid w:val="00F42D61"/>
    <w:rsid w:val="00F44F9E"/>
    <w:rsid w:val="00F453A6"/>
    <w:rsid w:val="00F469F5"/>
    <w:rsid w:val="00F46D98"/>
    <w:rsid w:val="00F5037D"/>
    <w:rsid w:val="00F50385"/>
    <w:rsid w:val="00F52FCA"/>
    <w:rsid w:val="00F53BB1"/>
    <w:rsid w:val="00F54747"/>
    <w:rsid w:val="00F54F01"/>
    <w:rsid w:val="00F553BE"/>
    <w:rsid w:val="00F5624F"/>
    <w:rsid w:val="00F60065"/>
    <w:rsid w:val="00F61206"/>
    <w:rsid w:val="00F61CB4"/>
    <w:rsid w:val="00F632D4"/>
    <w:rsid w:val="00F65D20"/>
    <w:rsid w:val="00F666A7"/>
    <w:rsid w:val="00F7038A"/>
    <w:rsid w:val="00F70A99"/>
    <w:rsid w:val="00F72C52"/>
    <w:rsid w:val="00F73370"/>
    <w:rsid w:val="00F74F82"/>
    <w:rsid w:val="00F76C8F"/>
    <w:rsid w:val="00F77A57"/>
    <w:rsid w:val="00F80BF6"/>
    <w:rsid w:val="00F8245A"/>
    <w:rsid w:val="00F838E7"/>
    <w:rsid w:val="00F84BD4"/>
    <w:rsid w:val="00F866C4"/>
    <w:rsid w:val="00F87FA1"/>
    <w:rsid w:val="00F92FA2"/>
    <w:rsid w:val="00FA0A3F"/>
    <w:rsid w:val="00FA4844"/>
    <w:rsid w:val="00FA648E"/>
    <w:rsid w:val="00FA64C9"/>
    <w:rsid w:val="00FA6E7F"/>
    <w:rsid w:val="00FB1074"/>
    <w:rsid w:val="00FB3496"/>
    <w:rsid w:val="00FB4059"/>
    <w:rsid w:val="00FB46E5"/>
    <w:rsid w:val="00FB55AC"/>
    <w:rsid w:val="00FB7BA3"/>
    <w:rsid w:val="00FC1850"/>
    <w:rsid w:val="00FC48CA"/>
    <w:rsid w:val="00FC4E8E"/>
    <w:rsid w:val="00FC5252"/>
    <w:rsid w:val="00FC5D34"/>
    <w:rsid w:val="00FC5DBD"/>
    <w:rsid w:val="00FC6CCF"/>
    <w:rsid w:val="00FC6E91"/>
    <w:rsid w:val="00FD0458"/>
    <w:rsid w:val="00FD119A"/>
    <w:rsid w:val="00FD11CA"/>
    <w:rsid w:val="00FD3DF5"/>
    <w:rsid w:val="00FD536E"/>
    <w:rsid w:val="00FD5866"/>
    <w:rsid w:val="00FD5A78"/>
    <w:rsid w:val="00FD723E"/>
    <w:rsid w:val="00FD72A9"/>
    <w:rsid w:val="00FE0369"/>
    <w:rsid w:val="00FE08A9"/>
    <w:rsid w:val="00FE0D2D"/>
    <w:rsid w:val="00FE253F"/>
    <w:rsid w:val="00FE38AF"/>
    <w:rsid w:val="00FE3AC8"/>
    <w:rsid w:val="00FE3EAB"/>
    <w:rsid w:val="00FE4DB8"/>
    <w:rsid w:val="00FE5502"/>
    <w:rsid w:val="00FE61F6"/>
    <w:rsid w:val="00FE7AB9"/>
    <w:rsid w:val="00FF09CB"/>
    <w:rsid w:val="00FF0A5F"/>
    <w:rsid w:val="00FF3C3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614A97FB"/>
  <w15:docId w15:val="{5CD6A91C-3169-49E8-92BD-978F801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F72"/>
    <w:pPr>
      <w:spacing w:after="200" w:line="276" w:lineRule="auto"/>
    </w:pPr>
    <w:rPr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2728"/>
    <w:pPr>
      <w:spacing w:after="360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2728"/>
    <w:pPr>
      <w:pBdr>
        <w:bottom w:val="thinThickSmallGap" w:sz="12" w:space="1" w:color="284C96"/>
      </w:pBdr>
      <w:spacing w:before="480" w:after="480" w:line="240" w:lineRule="auto"/>
      <w:jc w:val="both"/>
      <w:outlineLvl w:val="1"/>
    </w:pPr>
    <w:rPr>
      <w:rFonts w:ascii="JohnSans Text Pro" w:hAnsi="JohnSans Text Pro"/>
      <w:b/>
      <w:color w:val="284C96"/>
      <w:sz w:val="36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F66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72728"/>
    <w:rPr>
      <w:rFonts w:ascii="JohnSans Text Pro" w:hAnsi="JohnSans Text Pro" w:cs="Times New Roman"/>
      <w:b/>
      <w:color w:val="284C9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72728"/>
    <w:rPr>
      <w:rFonts w:ascii="JohnSans Text Pro" w:hAnsi="JohnSans Text Pro" w:cs="Times New Roman"/>
      <w:b/>
      <w:color w:val="284C96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6620"/>
    <w:rPr>
      <w:rFonts w:ascii="Cambria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D6650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135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135F4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1135F4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E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E77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0A99"/>
    <w:rPr>
      <w:rFonts w:cs="Times New Roman"/>
    </w:rPr>
  </w:style>
  <w:style w:type="paragraph" w:styleId="Zpat">
    <w:name w:val="footer"/>
    <w:basedOn w:val="Normln"/>
    <w:link w:val="ZpatChar"/>
    <w:uiPriority w:val="99"/>
    <w:rsid w:val="00F7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70A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33D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3D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3DD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3D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3DDC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502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99"/>
    <w:qFormat/>
    <w:rsid w:val="00D34B9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D34B94"/>
    <w:pPr>
      <w:spacing w:after="100"/>
    </w:pPr>
  </w:style>
  <w:style w:type="character" w:styleId="Hypertextovodkaz">
    <w:name w:val="Hyperlink"/>
    <w:basedOn w:val="Standardnpsmoodstavce"/>
    <w:uiPriority w:val="99"/>
    <w:rsid w:val="00D34B94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3B5E62"/>
    <w:rPr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C7A9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C7A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6C7A9E"/>
    <w:rPr>
      <w:rFonts w:cs="Times New Roman"/>
      <w:b/>
      <w:bCs/>
      <w:i/>
      <w:iCs/>
      <w:color w:val="4F81BD"/>
    </w:rPr>
  </w:style>
  <w:style w:type="paragraph" w:styleId="Obsah2">
    <w:name w:val="toc 2"/>
    <w:basedOn w:val="Normln"/>
    <w:next w:val="Normln"/>
    <w:autoRedefine/>
    <w:uiPriority w:val="39"/>
    <w:rsid w:val="00BB06C8"/>
    <w:pPr>
      <w:tabs>
        <w:tab w:val="right" w:leader="dot" w:pos="9062"/>
      </w:tabs>
      <w:spacing w:after="100"/>
    </w:pPr>
  </w:style>
  <w:style w:type="paragraph" w:styleId="Obsah3">
    <w:name w:val="toc 3"/>
    <w:basedOn w:val="Normln"/>
    <w:next w:val="Normln"/>
    <w:autoRedefine/>
    <w:uiPriority w:val="99"/>
    <w:rsid w:val="003911CA"/>
    <w:pPr>
      <w:spacing w:after="100"/>
      <w:ind w:left="440"/>
    </w:pPr>
  </w:style>
  <w:style w:type="table" w:styleId="Svtlseznamzvraznn1">
    <w:name w:val="Light List Accent 1"/>
    <w:basedOn w:val="Normlntabulka"/>
    <w:uiPriority w:val="99"/>
    <w:rsid w:val="005F69D2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adpisC">
    <w:name w:val="NadpisC"/>
    <w:basedOn w:val="Normln"/>
    <w:rsid w:val="00A1351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Footnote">
    <w:name w:val="Footnote"/>
    <w:basedOn w:val="Normln"/>
    <w:rsid w:val="002F7DB2"/>
    <w:pPr>
      <w:suppressLineNumbers/>
      <w:suppressAutoHyphens/>
      <w:autoSpaceDN w:val="0"/>
      <w:ind w:left="283" w:hanging="283"/>
      <w:textAlignment w:val="baseline"/>
    </w:pPr>
    <w:rPr>
      <w:kern w:val="3"/>
      <w:sz w:val="20"/>
      <w:szCs w:val="20"/>
    </w:rPr>
  </w:style>
  <w:style w:type="paragraph" w:customStyle="1" w:styleId="Standard">
    <w:name w:val="Standard"/>
    <w:rsid w:val="002F7DB2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Default">
    <w:name w:val="Default"/>
    <w:rsid w:val="001D121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9437B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B264-1D68-45E8-8548-D6C1E9D0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4221</Words>
  <Characters>25078</Characters>
  <Application>Microsoft Office Word</Application>
  <DocSecurity>0</DocSecurity>
  <Lines>208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Blahušiak</dc:creator>
  <cp:keywords/>
  <dc:description/>
  <cp:lastModifiedBy>Blahušiak Igor</cp:lastModifiedBy>
  <cp:revision>9</cp:revision>
  <cp:lastPrinted>2022-03-07T13:08:00Z</cp:lastPrinted>
  <dcterms:created xsi:type="dcterms:W3CDTF">2022-02-23T15:48:00Z</dcterms:created>
  <dcterms:modified xsi:type="dcterms:W3CDTF">2022-03-07T13:14:00Z</dcterms:modified>
</cp:coreProperties>
</file>